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6E097419" w14:textId="77777777" w:rsidTr="00771F00">
        <w:tc>
          <w:tcPr>
            <w:tcW w:w="9576" w:type="dxa"/>
            <w:shd w:val="clear" w:color="auto" w:fill="auto"/>
          </w:tcPr>
          <w:p w14:paraId="741DB68E" w14:textId="79F96C19" w:rsidR="00EF689B" w:rsidRDefault="00CC3349" w:rsidP="00771F00">
            <w:pPr>
              <w:pStyle w:val="14bldcentr"/>
            </w:pPr>
            <w:r>
              <w:t xml:space="preserve"> </w:t>
            </w:r>
            <w:r w:rsidR="00EF689B">
              <w:t xml:space="preserve">SOLICITATION </w:t>
            </w:r>
            <w:r w:rsidR="00932B83">
              <w:t xml:space="preserve">ADDENDUM </w:t>
            </w:r>
            <w:r w:rsidR="00D5368D">
              <w:t>ONE</w:t>
            </w:r>
          </w:p>
          <w:p w14:paraId="32F14C50" w14:textId="116E5CA8" w:rsidR="00932B83" w:rsidRDefault="00932B83" w:rsidP="00771F00">
            <w:pPr>
              <w:pStyle w:val="14bldcentr"/>
            </w:pPr>
            <w:r>
              <w:t>QUESTIONS AND ANSWERS</w:t>
            </w:r>
            <w:r w:rsidR="00324AF3">
              <w:t xml:space="preserve"> </w:t>
            </w:r>
            <w:r w:rsidR="0030694E">
              <w:t>AND UPDATED ATTACHMENT</w:t>
            </w:r>
            <w:r w:rsidR="00324AF3">
              <w:t xml:space="preserve"> C</w:t>
            </w:r>
          </w:p>
        </w:tc>
      </w:tr>
    </w:tbl>
    <w:p w14:paraId="7BB7D784" w14:textId="77777777" w:rsidR="00932B83" w:rsidRDefault="00932B83" w:rsidP="00932B83">
      <w:pPr>
        <w:pStyle w:val="14bldcentr"/>
      </w:pPr>
    </w:p>
    <w:p w14:paraId="56D3EDA5" w14:textId="13E6CA88"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D5368D">
        <w:rPr>
          <w:b/>
          <w:bCs/>
          <w:sz w:val="28"/>
        </w:rPr>
        <w:t>122435 O5</w:t>
      </w:r>
    </w:p>
    <w:p w14:paraId="5C193703" w14:textId="4E60593D" w:rsidR="00D5368D" w:rsidRDefault="00D5368D" w:rsidP="000E2D5E">
      <w:pPr>
        <w:pStyle w:val="Level1Body"/>
        <w:jc w:val="center"/>
        <w:rPr>
          <w:b/>
          <w:bCs/>
          <w:color w:val="auto"/>
          <w:sz w:val="28"/>
          <w:szCs w:val="22"/>
        </w:rPr>
      </w:pPr>
      <w:r w:rsidRPr="00D5368D">
        <w:rPr>
          <w:b/>
          <w:bCs/>
          <w:color w:val="auto"/>
          <w:sz w:val="28"/>
          <w:szCs w:val="22"/>
        </w:rPr>
        <w:t>Administrative Support Services for the State of Nebraska Employee Health Care Medical Benefit Plans</w:t>
      </w:r>
    </w:p>
    <w:p w14:paraId="024337D9" w14:textId="19C2203E"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D5368D" w:rsidRPr="00D5368D">
        <w:rPr>
          <w:b/>
          <w:bCs/>
          <w:color w:val="auto"/>
          <w:sz w:val="28"/>
          <w:szCs w:val="28"/>
        </w:rPr>
        <w:t>July 17, 2025</w:t>
      </w:r>
    </w:p>
    <w:bookmarkEnd w:id="0"/>
    <w:p w14:paraId="67C231A8" w14:textId="64113AAF"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D5368D" w:rsidRPr="00D5368D">
        <w:rPr>
          <w:b/>
          <w:bCs/>
          <w:color w:val="auto"/>
          <w:sz w:val="28"/>
          <w:szCs w:val="28"/>
        </w:rPr>
        <w:t>June 26, 2026</w:t>
      </w:r>
    </w:p>
    <w:p w14:paraId="1FF7F239" w14:textId="77777777" w:rsidR="00932B83" w:rsidRPr="00BD5697" w:rsidRDefault="00932B83" w:rsidP="00932B83">
      <w:pPr>
        <w:pStyle w:val="Level3Body"/>
      </w:pPr>
    </w:p>
    <w:p w14:paraId="06142650"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650931A0" wp14:editId="2CC1B9B1">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C51C9"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E0E87FB" w14:textId="77777777" w:rsidR="00932B83" w:rsidRPr="00BD5697" w:rsidRDefault="00932B83" w:rsidP="00932B83">
      <w:pPr>
        <w:pStyle w:val="Heading4"/>
      </w:pPr>
      <w:r>
        <w:t>Questions and Answers</w:t>
      </w:r>
    </w:p>
    <w:bookmarkEnd w:id="1"/>
    <w:p w14:paraId="1E837583" w14:textId="77777777" w:rsidR="00932B83" w:rsidRPr="00BD5697" w:rsidRDefault="00932B83" w:rsidP="00932B83">
      <w:pPr>
        <w:pStyle w:val="Level1Body"/>
      </w:pPr>
    </w:p>
    <w:p w14:paraId="73D560F9" w14:textId="77777777" w:rsidR="00EF689B" w:rsidRDefault="00EF689B" w:rsidP="00932B83">
      <w:pPr>
        <w:pStyle w:val="Level1Body"/>
      </w:pPr>
    </w:p>
    <w:p w14:paraId="5BF6172F" w14:textId="77777777" w:rsidR="00932B83" w:rsidRDefault="00932B83" w:rsidP="00932B83">
      <w:pPr>
        <w:pStyle w:val="Level1Body"/>
      </w:pPr>
      <w:proofErr w:type="gramStart"/>
      <w:r w:rsidRPr="00F053F3">
        <w:t>Following</w:t>
      </w:r>
      <w:proofErr w:type="gramEnd"/>
      <w:r w:rsidRPr="00F053F3">
        <w:t xml:space="preserve">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X="-730" w:tblpY="161"/>
        <w:tblW w:w="10800" w:type="dxa"/>
        <w:tblLook w:val="04A0" w:firstRow="1" w:lastRow="0" w:firstColumn="1" w:lastColumn="0" w:noHBand="0" w:noVBand="1"/>
      </w:tblPr>
      <w:tblGrid>
        <w:gridCol w:w="961"/>
        <w:gridCol w:w="1883"/>
        <w:gridCol w:w="1462"/>
        <w:gridCol w:w="3074"/>
        <w:gridCol w:w="3420"/>
      </w:tblGrid>
      <w:tr w:rsidR="00932B83" w14:paraId="3A130643" w14:textId="77777777" w:rsidTr="00851875">
        <w:tc>
          <w:tcPr>
            <w:tcW w:w="961" w:type="dxa"/>
            <w:shd w:val="clear" w:color="auto" w:fill="E6E6E6" w:themeFill="background1" w:themeFillShade="E6"/>
          </w:tcPr>
          <w:p w14:paraId="0AE4411E" w14:textId="77777777" w:rsidR="00932B83" w:rsidRPr="0043603E" w:rsidRDefault="00932B83" w:rsidP="00851875">
            <w:pPr>
              <w:pStyle w:val="Level1Body"/>
              <w:jc w:val="center"/>
              <w:rPr>
                <w:sz w:val="18"/>
                <w:szCs w:val="18"/>
                <w:u w:val="single"/>
              </w:rPr>
            </w:pPr>
            <w:r w:rsidRPr="0043603E">
              <w:rPr>
                <w:sz w:val="18"/>
                <w:szCs w:val="18"/>
                <w:u w:val="single"/>
              </w:rPr>
              <w:t>Question Number</w:t>
            </w:r>
          </w:p>
        </w:tc>
        <w:tc>
          <w:tcPr>
            <w:tcW w:w="1883" w:type="dxa"/>
            <w:shd w:val="clear" w:color="auto" w:fill="E6E6E6" w:themeFill="background1" w:themeFillShade="E6"/>
          </w:tcPr>
          <w:p w14:paraId="71A2C39C" w14:textId="37CFF637" w:rsidR="00932B83" w:rsidRPr="00102B6B" w:rsidRDefault="00932B83" w:rsidP="00851875">
            <w:pPr>
              <w:pStyle w:val="Level1Body"/>
              <w:jc w:val="center"/>
              <w:rPr>
                <w:sz w:val="18"/>
                <w:szCs w:val="18"/>
                <w:u w:val="single"/>
              </w:rPr>
            </w:pPr>
            <w:r w:rsidRPr="00102B6B">
              <w:rPr>
                <w:sz w:val="18"/>
                <w:szCs w:val="18"/>
                <w:u w:val="single"/>
              </w:rPr>
              <w:t>RFP</w:t>
            </w:r>
          </w:p>
          <w:p w14:paraId="0C371BDB" w14:textId="77777777" w:rsidR="00932B83" w:rsidRPr="00102B6B" w:rsidRDefault="00932B83" w:rsidP="00851875">
            <w:pPr>
              <w:pStyle w:val="Level1Body"/>
              <w:jc w:val="center"/>
              <w:rPr>
                <w:sz w:val="18"/>
                <w:szCs w:val="18"/>
                <w:u w:val="single"/>
              </w:rPr>
            </w:pPr>
            <w:r w:rsidRPr="00102B6B">
              <w:rPr>
                <w:sz w:val="18"/>
                <w:szCs w:val="18"/>
                <w:u w:val="single"/>
              </w:rPr>
              <w:t>Section</w:t>
            </w:r>
          </w:p>
          <w:p w14:paraId="39344E7E" w14:textId="77777777" w:rsidR="00932B83" w:rsidRPr="00102B6B" w:rsidRDefault="00932B83" w:rsidP="00851875">
            <w:pPr>
              <w:pStyle w:val="Level1Body"/>
              <w:jc w:val="center"/>
              <w:rPr>
                <w:sz w:val="18"/>
                <w:szCs w:val="18"/>
                <w:u w:val="single"/>
              </w:rPr>
            </w:pPr>
            <w:r w:rsidRPr="00102B6B">
              <w:rPr>
                <w:sz w:val="18"/>
                <w:szCs w:val="18"/>
                <w:u w:val="single"/>
              </w:rPr>
              <w:t>Reference</w:t>
            </w:r>
          </w:p>
        </w:tc>
        <w:tc>
          <w:tcPr>
            <w:tcW w:w="1462" w:type="dxa"/>
            <w:shd w:val="clear" w:color="auto" w:fill="E6E6E6" w:themeFill="background1" w:themeFillShade="E6"/>
          </w:tcPr>
          <w:p w14:paraId="26B3F883" w14:textId="40257EE3" w:rsidR="00932B83" w:rsidRPr="00102B6B" w:rsidRDefault="00932B83" w:rsidP="00851875">
            <w:pPr>
              <w:pStyle w:val="Level1Body"/>
              <w:jc w:val="center"/>
              <w:rPr>
                <w:sz w:val="18"/>
                <w:szCs w:val="18"/>
                <w:u w:val="single"/>
              </w:rPr>
            </w:pPr>
            <w:r w:rsidRPr="00102B6B">
              <w:rPr>
                <w:sz w:val="18"/>
                <w:szCs w:val="18"/>
                <w:u w:val="single"/>
              </w:rPr>
              <w:t>RFP</w:t>
            </w:r>
          </w:p>
          <w:p w14:paraId="61519108" w14:textId="77777777" w:rsidR="00932B83" w:rsidRPr="00102B6B" w:rsidRDefault="00932B83" w:rsidP="00851875">
            <w:pPr>
              <w:pStyle w:val="Level1Body"/>
              <w:jc w:val="center"/>
              <w:rPr>
                <w:sz w:val="18"/>
                <w:szCs w:val="18"/>
                <w:u w:val="single"/>
              </w:rPr>
            </w:pPr>
            <w:r w:rsidRPr="00102B6B">
              <w:rPr>
                <w:sz w:val="18"/>
                <w:szCs w:val="18"/>
                <w:u w:val="single"/>
              </w:rPr>
              <w:t>Page Number</w:t>
            </w:r>
          </w:p>
        </w:tc>
        <w:tc>
          <w:tcPr>
            <w:tcW w:w="3074" w:type="dxa"/>
            <w:shd w:val="clear" w:color="auto" w:fill="E6E6E6" w:themeFill="background1" w:themeFillShade="E6"/>
          </w:tcPr>
          <w:p w14:paraId="1135B8C6" w14:textId="77777777" w:rsidR="00932B83" w:rsidRPr="0043603E" w:rsidRDefault="00932B83" w:rsidP="00851875">
            <w:pPr>
              <w:pStyle w:val="Level1Body"/>
              <w:jc w:val="center"/>
              <w:rPr>
                <w:sz w:val="18"/>
                <w:szCs w:val="18"/>
                <w:u w:val="single"/>
              </w:rPr>
            </w:pPr>
            <w:r w:rsidRPr="0043603E">
              <w:rPr>
                <w:sz w:val="18"/>
                <w:szCs w:val="18"/>
                <w:u w:val="single"/>
              </w:rPr>
              <w:t>Question</w:t>
            </w:r>
          </w:p>
        </w:tc>
        <w:tc>
          <w:tcPr>
            <w:tcW w:w="3420" w:type="dxa"/>
            <w:shd w:val="clear" w:color="auto" w:fill="E6E6E6" w:themeFill="background1" w:themeFillShade="E6"/>
          </w:tcPr>
          <w:p w14:paraId="54FE47BD" w14:textId="77777777" w:rsidR="00932B83" w:rsidRPr="0043603E" w:rsidRDefault="00932B83" w:rsidP="00851875">
            <w:pPr>
              <w:pStyle w:val="Level1Body"/>
              <w:jc w:val="center"/>
              <w:rPr>
                <w:sz w:val="18"/>
                <w:szCs w:val="18"/>
                <w:u w:val="single"/>
              </w:rPr>
            </w:pPr>
            <w:r w:rsidRPr="0043603E">
              <w:rPr>
                <w:sz w:val="18"/>
                <w:szCs w:val="18"/>
                <w:u w:val="single"/>
              </w:rPr>
              <w:t>State Response</w:t>
            </w:r>
          </w:p>
        </w:tc>
      </w:tr>
      <w:tr w:rsidR="00932B83" w14:paraId="7B837C10" w14:textId="77777777" w:rsidTr="00851875">
        <w:tc>
          <w:tcPr>
            <w:tcW w:w="961" w:type="dxa"/>
          </w:tcPr>
          <w:p w14:paraId="06E401B3" w14:textId="77777777" w:rsidR="00932B83" w:rsidRDefault="00932B83" w:rsidP="00851875">
            <w:pPr>
              <w:pStyle w:val="Level1Body"/>
            </w:pPr>
            <w:r w:rsidRPr="00296870">
              <w:t>1.</w:t>
            </w:r>
          </w:p>
        </w:tc>
        <w:tc>
          <w:tcPr>
            <w:tcW w:w="1883" w:type="dxa"/>
          </w:tcPr>
          <w:p w14:paraId="767B50E8" w14:textId="73DBD228" w:rsidR="00102B6B" w:rsidRPr="00102B6B" w:rsidRDefault="00102B6B" w:rsidP="00851875">
            <w:pPr>
              <w:spacing w:before="240" w:after="240"/>
              <w:jc w:val="center"/>
              <w:rPr>
                <w:rFonts w:cs="Arial"/>
                <w:sz w:val="18"/>
                <w:szCs w:val="18"/>
              </w:rPr>
            </w:pPr>
            <w:r w:rsidRPr="00102B6B">
              <w:rPr>
                <w:rFonts w:cs="Arial"/>
                <w:sz w:val="18"/>
                <w:szCs w:val="18"/>
              </w:rPr>
              <w:t>I</w:t>
            </w:r>
            <w:r>
              <w:rPr>
                <w:rFonts w:cs="Arial"/>
                <w:sz w:val="18"/>
                <w:szCs w:val="18"/>
              </w:rPr>
              <w:t xml:space="preserve">- </w:t>
            </w:r>
            <w:r w:rsidRPr="00102B6B">
              <w:rPr>
                <w:rFonts w:cs="Arial"/>
                <w:sz w:val="18"/>
                <w:szCs w:val="18"/>
              </w:rPr>
              <w:t>PROCUREMENT PROCEDURE</w:t>
            </w:r>
          </w:p>
          <w:p w14:paraId="7421DCD5" w14:textId="7569DBBD" w:rsidR="00932B83" w:rsidRPr="00102B6B" w:rsidRDefault="00102B6B" w:rsidP="00851875">
            <w:pPr>
              <w:pStyle w:val="Level1Body"/>
              <w:jc w:val="center"/>
              <w:rPr>
                <w:sz w:val="18"/>
                <w:szCs w:val="18"/>
              </w:rPr>
            </w:pPr>
            <w:r w:rsidRPr="00102B6B">
              <w:rPr>
                <w:rFonts w:cs="Arial"/>
                <w:sz w:val="18"/>
                <w:szCs w:val="18"/>
              </w:rPr>
              <w:t>Schedule of Events</w:t>
            </w:r>
          </w:p>
        </w:tc>
        <w:tc>
          <w:tcPr>
            <w:tcW w:w="1462" w:type="dxa"/>
          </w:tcPr>
          <w:p w14:paraId="5221C90B" w14:textId="7D0B31DD" w:rsidR="00932B83" w:rsidRDefault="00102B6B" w:rsidP="00851875">
            <w:pPr>
              <w:pStyle w:val="Level1Body"/>
              <w:jc w:val="center"/>
            </w:pPr>
            <w:r>
              <w:t>2</w:t>
            </w:r>
          </w:p>
        </w:tc>
        <w:tc>
          <w:tcPr>
            <w:tcW w:w="3074" w:type="dxa"/>
          </w:tcPr>
          <w:p w14:paraId="752A99F6" w14:textId="0FD3F7F5" w:rsidR="00932B83" w:rsidRDefault="00102B6B" w:rsidP="00851875">
            <w:pPr>
              <w:pStyle w:val="Level1Body"/>
              <w:jc w:val="left"/>
            </w:pPr>
            <w:r>
              <w:rPr>
                <w:rFonts w:cs="Arial"/>
              </w:rPr>
              <w:t>The RFP’s schedule of events indicates a bid award date of 10/10/2025; however, the RFP questionnaire indicates a bid award date of 11/1/2025. Please confirm which date is accurate as this will impact the Implementation Timeline exhibits for both medical and pharmacy bids.</w:t>
            </w:r>
          </w:p>
        </w:tc>
        <w:tc>
          <w:tcPr>
            <w:tcW w:w="3420" w:type="dxa"/>
          </w:tcPr>
          <w:p w14:paraId="7319DC87" w14:textId="5C7DC5CF" w:rsidR="00971C0F" w:rsidRPr="00324AF3" w:rsidRDefault="00971C0F" w:rsidP="00FC7789">
            <w:pPr>
              <w:pStyle w:val="Level1Body"/>
              <w:jc w:val="left"/>
            </w:pPr>
            <w:r w:rsidRPr="00324AF3">
              <w:t>The date of 10/10/2025 on the schedule of events refers to the posting of the State’s intent to award.</w:t>
            </w:r>
          </w:p>
          <w:p w14:paraId="7801EABC" w14:textId="77777777" w:rsidR="00971C0F" w:rsidRPr="00324AF3" w:rsidRDefault="00971C0F" w:rsidP="00FC7789">
            <w:pPr>
              <w:pStyle w:val="Level1Body"/>
              <w:jc w:val="left"/>
            </w:pPr>
          </w:p>
          <w:p w14:paraId="7E6172F1" w14:textId="674FEA61" w:rsidR="0019275F" w:rsidRPr="00324AF3" w:rsidRDefault="00324AF3" w:rsidP="00324AF3">
            <w:pPr>
              <w:pStyle w:val="Level1Body"/>
              <w:rPr>
                <w:highlight w:val="yellow"/>
              </w:rPr>
            </w:pPr>
            <w:r w:rsidRPr="00324AF3">
              <w:t xml:space="preserve">The formal award date is TBD. Please see updated Attachment C1 - Questionnaire, posted with this addendum, which updates the date listed in question P.1 to </w:t>
            </w:r>
            <w:r w:rsidR="00DD27AA">
              <w:t>December 1,2025</w:t>
            </w:r>
            <w:r w:rsidRPr="00324AF3">
              <w:t>. This date is to be used as an assumed award date for the bidder's implementation plan as requested in question P.1.</w:t>
            </w:r>
          </w:p>
        </w:tc>
      </w:tr>
      <w:tr w:rsidR="00932B83" w14:paraId="3EEB6C7A" w14:textId="77777777" w:rsidTr="00851875">
        <w:tc>
          <w:tcPr>
            <w:tcW w:w="961" w:type="dxa"/>
          </w:tcPr>
          <w:p w14:paraId="7E3B5D08" w14:textId="77777777" w:rsidR="00932B83" w:rsidRDefault="00932B83" w:rsidP="00851875">
            <w:pPr>
              <w:pStyle w:val="Level1Body"/>
            </w:pPr>
            <w:r>
              <w:t>2.</w:t>
            </w:r>
          </w:p>
        </w:tc>
        <w:tc>
          <w:tcPr>
            <w:tcW w:w="1883" w:type="dxa"/>
          </w:tcPr>
          <w:p w14:paraId="0A28867D" w14:textId="77777777" w:rsidR="00102B6B" w:rsidRPr="00102B6B" w:rsidRDefault="00102B6B" w:rsidP="00851875">
            <w:pPr>
              <w:spacing w:before="240" w:after="240"/>
              <w:jc w:val="center"/>
              <w:rPr>
                <w:rFonts w:cs="Arial"/>
                <w:sz w:val="18"/>
                <w:szCs w:val="18"/>
              </w:rPr>
            </w:pPr>
            <w:r w:rsidRPr="00102B6B">
              <w:rPr>
                <w:rFonts w:cs="Arial"/>
                <w:sz w:val="18"/>
                <w:szCs w:val="18"/>
              </w:rPr>
              <w:t>III. VENDOR DUTIES</w:t>
            </w:r>
          </w:p>
          <w:p w14:paraId="466CF969" w14:textId="4FBC21FB" w:rsidR="00932B83" w:rsidRDefault="00102B6B" w:rsidP="00851875">
            <w:pPr>
              <w:spacing w:before="240" w:after="240"/>
              <w:jc w:val="center"/>
            </w:pPr>
            <w:r w:rsidRPr="00102B6B">
              <w:rPr>
                <w:rFonts w:cs="Arial"/>
                <w:sz w:val="18"/>
                <w:szCs w:val="18"/>
              </w:rPr>
              <w:t>Item J.3. – Evidence of Coverage</w:t>
            </w:r>
          </w:p>
        </w:tc>
        <w:tc>
          <w:tcPr>
            <w:tcW w:w="1462" w:type="dxa"/>
          </w:tcPr>
          <w:p w14:paraId="5DA91493" w14:textId="6768A51E" w:rsidR="00932B83" w:rsidRDefault="00102B6B" w:rsidP="00851875">
            <w:pPr>
              <w:pStyle w:val="Level1Body"/>
              <w:jc w:val="center"/>
            </w:pPr>
            <w:r>
              <w:t>19</w:t>
            </w:r>
          </w:p>
        </w:tc>
        <w:tc>
          <w:tcPr>
            <w:tcW w:w="3074" w:type="dxa"/>
          </w:tcPr>
          <w:p w14:paraId="3A8726AA" w14:textId="2AAC9145" w:rsidR="00932B83" w:rsidRDefault="00102B6B" w:rsidP="00851875">
            <w:pPr>
              <w:pStyle w:val="Level1Body"/>
              <w:jc w:val="left"/>
            </w:pPr>
            <w:r>
              <w:rPr>
                <w:rFonts w:cs="Arial"/>
              </w:rPr>
              <w:t>Can the State please confirm that the requested Evidence of Coverage for vendor insurance is only required for the winning bidder and is not required as part of this RFP?</w:t>
            </w:r>
          </w:p>
        </w:tc>
        <w:tc>
          <w:tcPr>
            <w:tcW w:w="3420" w:type="dxa"/>
          </w:tcPr>
          <w:p w14:paraId="6DE32ABC" w14:textId="66702C24" w:rsidR="0018798F" w:rsidRDefault="006A63A9" w:rsidP="00FC7789">
            <w:pPr>
              <w:pStyle w:val="Level1Body"/>
              <w:jc w:val="left"/>
            </w:pPr>
            <w:r w:rsidRPr="00F076A8">
              <w:rPr>
                <w:color w:val="000000" w:themeColor="text1"/>
              </w:rPr>
              <w:t>Confirmed. The awarded bidder will be required to provide a compliant Certificate of Insurance.</w:t>
            </w:r>
          </w:p>
        </w:tc>
      </w:tr>
      <w:tr w:rsidR="00932B83" w14:paraId="07E88E94" w14:textId="77777777" w:rsidTr="00851875">
        <w:tc>
          <w:tcPr>
            <w:tcW w:w="961" w:type="dxa"/>
          </w:tcPr>
          <w:p w14:paraId="68AD59A9" w14:textId="77777777" w:rsidR="00932B83" w:rsidRDefault="00932B83" w:rsidP="00851875">
            <w:pPr>
              <w:pStyle w:val="Level1Body"/>
            </w:pPr>
            <w:r>
              <w:t>3.</w:t>
            </w:r>
          </w:p>
        </w:tc>
        <w:tc>
          <w:tcPr>
            <w:tcW w:w="1883" w:type="dxa"/>
          </w:tcPr>
          <w:p w14:paraId="002FF760" w14:textId="77777777" w:rsidR="00102B6B" w:rsidRPr="00102B6B" w:rsidRDefault="00102B6B" w:rsidP="00851875">
            <w:pPr>
              <w:spacing w:before="240" w:after="240"/>
              <w:jc w:val="center"/>
              <w:rPr>
                <w:rFonts w:cs="Arial"/>
                <w:sz w:val="18"/>
                <w:szCs w:val="18"/>
              </w:rPr>
            </w:pPr>
            <w:r w:rsidRPr="00102B6B">
              <w:rPr>
                <w:rFonts w:cs="Arial"/>
                <w:sz w:val="18"/>
                <w:szCs w:val="18"/>
              </w:rPr>
              <w:t>V. PROJECT DESCRIPTION &amp; SCOPE OF WORK</w:t>
            </w:r>
          </w:p>
          <w:p w14:paraId="5D55A453" w14:textId="4B31CCB4" w:rsidR="00932B83" w:rsidRDefault="00102B6B" w:rsidP="00851875">
            <w:pPr>
              <w:spacing w:before="240" w:after="240"/>
              <w:jc w:val="center"/>
            </w:pPr>
            <w:r w:rsidRPr="00102B6B">
              <w:rPr>
                <w:rFonts w:cs="Arial"/>
                <w:sz w:val="18"/>
                <w:szCs w:val="18"/>
              </w:rPr>
              <w:t>Item F – Plan Requirements, #17</w:t>
            </w:r>
          </w:p>
        </w:tc>
        <w:tc>
          <w:tcPr>
            <w:tcW w:w="1462" w:type="dxa"/>
          </w:tcPr>
          <w:p w14:paraId="398DEEA0" w14:textId="2326974F" w:rsidR="00932B83" w:rsidRDefault="00102B6B" w:rsidP="00851875">
            <w:pPr>
              <w:pStyle w:val="Level1Body"/>
              <w:jc w:val="center"/>
            </w:pPr>
            <w:r>
              <w:t>26</w:t>
            </w:r>
          </w:p>
        </w:tc>
        <w:tc>
          <w:tcPr>
            <w:tcW w:w="3074" w:type="dxa"/>
          </w:tcPr>
          <w:p w14:paraId="15084E3D" w14:textId="22A32962" w:rsidR="00932B83" w:rsidRDefault="00102B6B" w:rsidP="00851875">
            <w:pPr>
              <w:pStyle w:val="Level1Body"/>
              <w:jc w:val="left"/>
            </w:pPr>
            <w:bookmarkStart w:id="2" w:name="_Hlk201569799"/>
            <w:r w:rsidRPr="00BA441D">
              <w:rPr>
                <w:rFonts w:cs="Arial"/>
              </w:rPr>
              <w:t xml:space="preserve">As bidders are required to include outbound data feeds within the proposed administrative pricing, can the State please provide a complete list of vendors that require </w:t>
            </w:r>
            <w:r>
              <w:rPr>
                <w:rFonts w:cs="Arial"/>
              </w:rPr>
              <w:t xml:space="preserve">certain </w:t>
            </w:r>
            <w:r w:rsidRPr="00BA441D">
              <w:rPr>
                <w:rFonts w:cs="Arial"/>
              </w:rPr>
              <w:t>data feeds (eligibility, standard claim extracts, etc.)</w:t>
            </w:r>
            <w:r>
              <w:rPr>
                <w:rFonts w:cs="Arial"/>
              </w:rPr>
              <w:t xml:space="preserve"> so that we can know the number of feeds required?</w:t>
            </w:r>
            <w:bookmarkEnd w:id="2"/>
          </w:p>
        </w:tc>
        <w:tc>
          <w:tcPr>
            <w:tcW w:w="3420" w:type="dxa"/>
          </w:tcPr>
          <w:p w14:paraId="59A14026" w14:textId="06DBB12B" w:rsidR="00CC25C8" w:rsidRPr="00324AF3" w:rsidRDefault="00CC25C8" w:rsidP="00FC7789">
            <w:pPr>
              <w:pStyle w:val="Level1Body"/>
              <w:jc w:val="left"/>
              <w:rPr>
                <w:color w:val="000000" w:themeColor="text1"/>
              </w:rPr>
            </w:pPr>
            <w:r w:rsidRPr="00324AF3">
              <w:rPr>
                <w:color w:val="000000" w:themeColor="text1"/>
              </w:rPr>
              <w:t>The State’s vendors include:</w:t>
            </w:r>
          </w:p>
          <w:p w14:paraId="4EFB87DB" w14:textId="408EA557" w:rsidR="00CC25C8" w:rsidRPr="00324AF3" w:rsidRDefault="00CC25C8" w:rsidP="00FC7789">
            <w:pPr>
              <w:pStyle w:val="Level1Body"/>
              <w:jc w:val="left"/>
              <w:rPr>
                <w:color w:val="000000" w:themeColor="text1"/>
              </w:rPr>
            </w:pPr>
            <w:r w:rsidRPr="00324AF3">
              <w:rPr>
                <w:color w:val="000000" w:themeColor="text1"/>
              </w:rPr>
              <w:t>-PBM</w:t>
            </w:r>
          </w:p>
          <w:p w14:paraId="273F3647" w14:textId="3289E0EC" w:rsidR="00CC25C8" w:rsidRPr="00324AF3" w:rsidRDefault="00CC25C8" w:rsidP="00FC7789">
            <w:pPr>
              <w:pStyle w:val="Level1Body"/>
              <w:jc w:val="left"/>
              <w:rPr>
                <w:color w:val="000000" w:themeColor="text1"/>
              </w:rPr>
            </w:pPr>
            <w:r w:rsidRPr="00324AF3">
              <w:rPr>
                <w:color w:val="000000" w:themeColor="text1"/>
              </w:rPr>
              <w:t>-Vision</w:t>
            </w:r>
          </w:p>
          <w:p w14:paraId="76FCC25D" w14:textId="06D4492E" w:rsidR="00CC25C8" w:rsidRPr="00324AF3" w:rsidRDefault="00CC25C8" w:rsidP="00FC7789">
            <w:pPr>
              <w:pStyle w:val="Level1Body"/>
              <w:jc w:val="left"/>
              <w:rPr>
                <w:color w:val="000000" w:themeColor="text1"/>
              </w:rPr>
            </w:pPr>
            <w:r w:rsidRPr="00324AF3">
              <w:rPr>
                <w:color w:val="000000" w:themeColor="text1"/>
              </w:rPr>
              <w:t>-Dental</w:t>
            </w:r>
          </w:p>
          <w:p w14:paraId="6AB47447" w14:textId="1AD69CBD" w:rsidR="00CC25C8" w:rsidRPr="00324AF3" w:rsidRDefault="00CC25C8" w:rsidP="00FC7789">
            <w:pPr>
              <w:pStyle w:val="Level1Body"/>
              <w:jc w:val="left"/>
              <w:rPr>
                <w:color w:val="000000" w:themeColor="text1"/>
              </w:rPr>
            </w:pPr>
            <w:r w:rsidRPr="00324AF3">
              <w:rPr>
                <w:color w:val="000000" w:themeColor="text1"/>
              </w:rPr>
              <w:t>-HSA</w:t>
            </w:r>
          </w:p>
          <w:p w14:paraId="4816B79E" w14:textId="142138DA" w:rsidR="00CC25C8" w:rsidRPr="00324AF3" w:rsidRDefault="00CC25C8" w:rsidP="00FC7789">
            <w:pPr>
              <w:pStyle w:val="Level1Body"/>
              <w:jc w:val="left"/>
              <w:rPr>
                <w:color w:val="000000" w:themeColor="text1"/>
              </w:rPr>
            </w:pPr>
            <w:r w:rsidRPr="00324AF3">
              <w:rPr>
                <w:color w:val="000000" w:themeColor="text1"/>
              </w:rPr>
              <w:t>-COBRA</w:t>
            </w:r>
          </w:p>
          <w:p w14:paraId="7AAE3307" w14:textId="3C27CAF6" w:rsidR="00CC25C8" w:rsidRPr="00712961" w:rsidRDefault="00991292" w:rsidP="00FC7789">
            <w:pPr>
              <w:pStyle w:val="Level1Body"/>
              <w:jc w:val="left"/>
              <w:rPr>
                <w:color w:val="000000" w:themeColor="text1"/>
              </w:rPr>
            </w:pPr>
            <w:r w:rsidRPr="00324AF3">
              <w:rPr>
                <w:color w:val="000000" w:themeColor="text1"/>
              </w:rPr>
              <w:t>The Medical Administrator would be required to interface with these vendor partners.</w:t>
            </w:r>
          </w:p>
        </w:tc>
      </w:tr>
      <w:tr w:rsidR="00932B83" w14:paraId="38E36B5A" w14:textId="77777777" w:rsidTr="00851875">
        <w:tc>
          <w:tcPr>
            <w:tcW w:w="961" w:type="dxa"/>
          </w:tcPr>
          <w:p w14:paraId="7FB28121" w14:textId="77777777" w:rsidR="00932B83" w:rsidRDefault="00932B83" w:rsidP="00851875">
            <w:pPr>
              <w:pStyle w:val="Level1Body"/>
            </w:pPr>
            <w:r>
              <w:lastRenderedPageBreak/>
              <w:t>4.</w:t>
            </w:r>
          </w:p>
        </w:tc>
        <w:tc>
          <w:tcPr>
            <w:tcW w:w="1883" w:type="dxa"/>
          </w:tcPr>
          <w:p w14:paraId="66213BB5" w14:textId="77777777" w:rsidR="00102B6B" w:rsidRPr="00102B6B" w:rsidRDefault="00102B6B" w:rsidP="00851875">
            <w:pPr>
              <w:spacing w:before="240" w:after="240"/>
              <w:jc w:val="center"/>
              <w:rPr>
                <w:rFonts w:cs="Arial"/>
                <w:sz w:val="18"/>
                <w:szCs w:val="18"/>
              </w:rPr>
            </w:pPr>
            <w:r w:rsidRPr="00102B6B">
              <w:rPr>
                <w:rFonts w:cs="Arial"/>
                <w:sz w:val="18"/>
                <w:szCs w:val="18"/>
              </w:rPr>
              <w:t>ATTACHMENT D – PERFORMANCE GUARANTEES</w:t>
            </w:r>
          </w:p>
          <w:p w14:paraId="7E10C61F" w14:textId="23FC86B7" w:rsidR="00932B83" w:rsidRDefault="00102B6B" w:rsidP="00851875">
            <w:pPr>
              <w:spacing w:before="240" w:after="240"/>
              <w:jc w:val="center"/>
            </w:pPr>
            <w:r w:rsidRPr="00102B6B">
              <w:rPr>
                <w:rFonts w:cs="Arial"/>
                <w:sz w:val="18"/>
                <w:szCs w:val="18"/>
              </w:rPr>
              <w:t>Plan Design Administration</w:t>
            </w:r>
          </w:p>
        </w:tc>
        <w:tc>
          <w:tcPr>
            <w:tcW w:w="1462" w:type="dxa"/>
          </w:tcPr>
          <w:p w14:paraId="648D8C45" w14:textId="348934F7" w:rsidR="00932B83" w:rsidRDefault="00102B6B" w:rsidP="00851875">
            <w:pPr>
              <w:pStyle w:val="Level1Body"/>
              <w:jc w:val="center"/>
            </w:pPr>
            <w:r>
              <w:rPr>
                <w:rFonts w:cs="Arial"/>
              </w:rPr>
              <w:t>N/A</w:t>
            </w:r>
          </w:p>
        </w:tc>
        <w:tc>
          <w:tcPr>
            <w:tcW w:w="3074" w:type="dxa"/>
          </w:tcPr>
          <w:p w14:paraId="254B1A65" w14:textId="0B241EE9" w:rsidR="00932B83" w:rsidRDefault="00102B6B" w:rsidP="00851875">
            <w:pPr>
              <w:pStyle w:val="Level1Body"/>
              <w:jc w:val="left"/>
            </w:pPr>
            <w:r>
              <w:rPr>
                <w:rFonts w:cs="Arial"/>
              </w:rPr>
              <w:t>Could the State please elaborate and clarify what is required with the Plan Design Administration guarantee request?  All plan design information will be built and tested based on the State’s sign off on final benefits. Can the State provide an example of the type of information on the year-end report the State is looking to obtain?</w:t>
            </w:r>
          </w:p>
        </w:tc>
        <w:tc>
          <w:tcPr>
            <w:tcW w:w="3420" w:type="dxa"/>
          </w:tcPr>
          <w:p w14:paraId="4D405AAD" w14:textId="219912A1" w:rsidR="00932B83" w:rsidRDefault="00934349" w:rsidP="00FC7789">
            <w:pPr>
              <w:pStyle w:val="Level1Body"/>
              <w:jc w:val="left"/>
            </w:pPr>
            <w:r w:rsidRPr="00712961">
              <w:rPr>
                <w:color w:val="000000" w:themeColor="text1"/>
              </w:rPr>
              <w:t>Checklist or documentation confirming benefit services set up in claims system</w:t>
            </w:r>
            <w:r w:rsidR="004D2206" w:rsidRPr="00712961">
              <w:rPr>
                <w:color w:val="000000" w:themeColor="text1"/>
              </w:rPr>
              <w:t xml:space="preserve"> accurately </w:t>
            </w:r>
            <w:r w:rsidRPr="00712961">
              <w:rPr>
                <w:color w:val="000000" w:themeColor="text1"/>
              </w:rPr>
              <w:t xml:space="preserve"> matches plan document and the State’s </w:t>
            </w:r>
            <w:r w:rsidR="00B9201A" w:rsidRPr="00712961">
              <w:rPr>
                <w:color w:val="000000" w:themeColor="text1"/>
              </w:rPr>
              <w:t xml:space="preserve">benefit </w:t>
            </w:r>
            <w:r w:rsidRPr="00712961">
              <w:rPr>
                <w:color w:val="000000" w:themeColor="text1"/>
              </w:rPr>
              <w:t>intent</w:t>
            </w:r>
            <w:r w:rsidR="00B9201A" w:rsidRPr="00712961">
              <w:rPr>
                <w:color w:val="000000" w:themeColor="text1"/>
              </w:rPr>
              <w:t xml:space="preserve"> is acceptable.</w:t>
            </w:r>
          </w:p>
        </w:tc>
      </w:tr>
      <w:tr w:rsidR="00932B83" w14:paraId="6B1B35F0" w14:textId="77777777" w:rsidTr="00851875">
        <w:tc>
          <w:tcPr>
            <w:tcW w:w="961" w:type="dxa"/>
          </w:tcPr>
          <w:p w14:paraId="079A20A2" w14:textId="77777777" w:rsidR="00932B83" w:rsidRDefault="00932B83" w:rsidP="00851875">
            <w:pPr>
              <w:pStyle w:val="Level1Body"/>
            </w:pPr>
            <w:r>
              <w:t>5.</w:t>
            </w:r>
          </w:p>
        </w:tc>
        <w:tc>
          <w:tcPr>
            <w:tcW w:w="1883" w:type="dxa"/>
          </w:tcPr>
          <w:p w14:paraId="24147F44" w14:textId="77777777" w:rsidR="00102B6B" w:rsidRPr="00102B6B" w:rsidRDefault="00102B6B" w:rsidP="00851875">
            <w:pPr>
              <w:spacing w:before="240" w:after="240"/>
              <w:jc w:val="center"/>
              <w:rPr>
                <w:rFonts w:cs="Arial"/>
                <w:sz w:val="18"/>
                <w:szCs w:val="18"/>
              </w:rPr>
            </w:pPr>
            <w:r w:rsidRPr="00102B6B">
              <w:rPr>
                <w:rFonts w:cs="Arial"/>
                <w:sz w:val="18"/>
                <w:szCs w:val="18"/>
              </w:rPr>
              <w:t>ATTACHMENT D – PERFORMANCE GUARANTEES</w:t>
            </w:r>
          </w:p>
          <w:p w14:paraId="3EE29E86" w14:textId="41632A9F" w:rsidR="00932B83" w:rsidRPr="00102B6B" w:rsidRDefault="00102B6B" w:rsidP="00851875">
            <w:pPr>
              <w:pStyle w:val="Level1Body"/>
              <w:spacing w:after="240"/>
              <w:jc w:val="center"/>
              <w:rPr>
                <w:rFonts w:cs="Arial"/>
                <w:color w:val="auto"/>
                <w:sz w:val="18"/>
                <w:szCs w:val="18"/>
              </w:rPr>
            </w:pPr>
            <w:r w:rsidRPr="00102B6B">
              <w:rPr>
                <w:rFonts w:cs="Arial"/>
                <w:color w:val="auto"/>
                <w:sz w:val="18"/>
                <w:szCs w:val="18"/>
              </w:rPr>
              <w:t>HIPAA Assessments and Breaches</w:t>
            </w:r>
          </w:p>
        </w:tc>
        <w:tc>
          <w:tcPr>
            <w:tcW w:w="1462" w:type="dxa"/>
          </w:tcPr>
          <w:p w14:paraId="16E852F3" w14:textId="6B3D76F4" w:rsidR="00932B83" w:rsidRDefault="00102B6B" w:rsidP="00851875">
            <w:pPr>
              <w:pStyle w:val="Level1Body"/>
              <w:jc w:val="center"/>
            </w:pPr>
            <w:r>
              <w:rPr>
                <w:rFonts w:cs="Arial"/>
              </w:rPr>
              <w:t>N/A</w:t>
            </w:r>
          </w:p>
        </w:tc>
        <w:tc>
          <w:tcPr>
            <w:tcW w:w="3074" w:type="dxa"/>
          </w:tcPr>
          <w:p w14:paraId="69C2E6B4" w14:textId="101AE059" w:rsidR="00932B83" w:rsidRDefault="00102B6B" w:rsidP="00851875">
            <w:pPr>
              <w:pStyle w:val="Level1Body"/>
              <w:jc w:val="left"/>
            </w:pPr>
            <w:r>
              <w:rPr>
                <w:rFonts w:cs="Arial"/>
              </w:rPr>
              <w:t>Can the State please provide more detail on the HIPAA Assessments expected by the State? Is the scope of HIPAA Assessments related to a review and risk assessment of any possible unauthorized disclosure event that occurs on a case-by-case basis?</w:t>
            </w:r>
          </w:p>
        </w:tc>
        <w:tc>
          <w:tcPr>
            <w:tcW w:w="3420" w:type="dxa"/>
          </w:tcPr>
          <w:p w14:paraId="75196A98" w14:textId="4FEBA91B" w:rsidR="00932B83" w:rsidRPr="004D2206" w:rsidRDefault="00B9201A" w:rsidP="00FC7789">
            <w:pPr>
              <w:pStyle w:val="Level1Body"/>
              <w:jc w:val="left"/>
              <w:rPr>
                <w:color w:val="000000" w:themeColor="text1"/>
              </w:rPr>
            </w:pPr>
            <w:r w:rsidRPr="004D2206">
              <w:rPr>
                <w:color w:val="000000" w:themeColor="text1"/>
              </w:rPr>
              <w:t>Bidder</w:t>
            </w:r>
            <w:r w:rsidR="00934349" w:rsidRPr="004D2206">
              <w:rPr>
                <w:color w:val="000000" w:themeColor="text1"/>
              </w:rPr>
              <w:t xml:space="preserve">’s documentation verifying/confirming annual review and risk assessment of any possible unauthorized disclosures </w:t>
            </w:r>
            <w:r w:rsidRPr="004D2206">
              <w:rPr>
                <w:color w:val="000000" w:themeColor="text1"/>
              </w:rPr>
              <w:t>is</w:t>
            </w:r>
            <w:r w:rsidR="00934349" w:rsidRPr="004D2206">
              <w:rPr>
                <w:color w:val="000000" w:themeColor="text1"/>
              </w:rPr>
              <w:t xml:space="preserve"> acceptable.</w:t>
            </w:r>
          </w:p>
        </w:tc>
      </w:tr>
      <w:tr w:rsidR="00027ED9" w14:paraId="0F544A68" w14:textId="77777777" w:rsidTr="00851875">
        <w:tc>
          <w:tcPr>
            <w:tcW w:w="961" w:type="dxa"/>
          </w:tcPr>
          <w:p w14:paraId="75F0D6ED" w14:textId="3D932C9A" w:rsidR="00027ED9" w:rsidRDefault="00851875" w:rsidP="00851875">
            <w:pPr>
              <w:pStyle w:val="Level1Body"/>
            </w:pPr>
            <w:r>
              <w:t>6.</w:t>
            </w:r>
          </w:p>
        </w:tc>
        <w:tc>
          <w:tcPr>
            <w:tcW w:w="1883" w:type="dxa"/>
          </w:tcPr>
          <w:p w14:paraId="374805B0" w14:textId="77777777" w:rsidR="00027ED9" w:rsidRPr="00027ED9" w:rsidRDefault="00027ED9" w:rsidP="00851875">
            <w:pPr>
              <w:spacing w:before="240" w:after="240"/>
              <w:jc w:val="center"/>
              <w:rPr>
                <w:rFonts w:cs="Arial"/>
                <w:sz w:val="18"/>
                <w:szCs w:val="18"/>
              </w:rPr>
            </w:pPr>
            <w:r w:rsidRPr="00027ED9">
              <w:rPr>
                <w:rFonts w:cs="Arial"/>
                <w:sz w:val="18"/>
                <w:szCs w:val="18"/>
              </w:rPr>
              <w:t>ATTACHMENT C - QUESTIONNAIRE</w:t>
            </w:r>
          </w:p>
          <w:p w14:paraId="337248F8" w14:textId="77777777" w:rsidR="00027ED9" w:rsidRPr="00102B6B" w:rsidRDefault="00027ED9" w:rsidP="00851875">
            <w:pPr>
              <w:spacing w:before="240" w:after="240"/>
              <w:jc w:val="center"/>
              <w:rPr>
                <w:rFonts w:cs="Arial"/>
                <w:sz w:val="18"/>
                <w:szCs w:val="18"/>
              </w:rPr>
            </w:pPr>
          </w:p>
        </w:tc>
        <w:tc>
          <w:tcPr>
            <w:tcW w:w="1462" w:type="dxa"/>
          </w:tcPr>
          <w:p w14:paraId="42662A22" w14:textId="18F92556" w:rsidR="00027ED9" w:rsidRDefault="00027ED9" w:rsidP="00851875">
            <w:pPr>
              <w:pStyle w:val="Level1Body"/>
              <w:jc w:val="center"/>
              <w:rPr>
                <w:rFonts w:cs="Arial"/>
              </w:rPr>
            </w:pPr>
            <w:r>
              <w:rPr>
                <w:rFonts w:cs="Arial"/>
              </w:rPr>
              <w:t>N/A</w:t>
            </w:r>
          </w:p>
        </w:tc>
        <w:tc>
          <w:tcPr>
            <w:tcW w:w="3074" w:type="dxa"/>
          </w:tcPr>
          <w:p w14:paraId="646B4499" w14:textId="1DAB770D" w:rsidR="00027ED9" w:rsidRDefault="00027ED9" w:rsidP="00851875">
            <w:pPr>
              <w:pStyle w:val="Level1Body"/>
              <w:jc w:val="left"/>
              <w:rPr>
                <w:rFonts w:cs="Arial"/>
              </w:rPr>
            </w:pPr>
            <w:r>
              <w:rPr>
                <w:rFonts w:cs="Arial"/>
              </w:rPr>
              <w:t xml:space="preserve">We realize the instructions for responding to the questionnaire are to call for concise responses; however, as the questionnaire is in Excel, it does not allow enough space for broad questions that require lengthier responses. Is it OK with the State if bidders provide overflow responses in the adjacent cells immediately to the right of the </w:t>
            </w:r>
            <w:r w:rsidRPr="00CF0AC0">
              <w:rPr>
                <w:rFonts w:cs="Arial"/>
                <w:i/>
                <w:iCs/>
              </w:rPr>
              <w:t>Vendor Response</w:t>
            </w:r>
            <w:r>
              <w:rPr>
                <w:rFonts w:cs="Arial"/>
              </w:rPr>
              <w:t xml:space="preserve"> column, if needed?</w:t>
            </w:r>
          </w:p>
        </w:tc>
        <w:tc>
          <w:tcPr>
            <w:tcW w:w="3420" w:type="dxa"/>
          </w:tcPr>
          <w:p w14:paraId="53565811" w14:textId="2E659037" w:rsidR="00027ED9" w:rsidRPr="004D2206" w:rsidRDefault="00B9201A" w:rsidP="00FC7789">
            <w:pPr>
              <w:pStyle w:val="Level1Body"/>
              <w:jc w:val="left"/>
              <w:rPr>
                <w:color w:val="000000" w:themeColor="text1"/>
              </w:rPr>
            </w:pPr>
            <w:r w:rsidRPr="004D2206">
              <w:rPr>
                <w:color w:val="000000" w:themeColor="text1"/>
              </w:rPr>
              <w:t xml:space="preserve">Yes. </w:t>
            </w:r>
          </w:p>
          <w:p w14:paraId="0E6FD26C" w14:textId="77777777" w:rsidR="00934349" w:rsidRPr="004D2206" w:rsidRDefault="00934349" w:rsidP="00FC7789">
            <w:pPr>
              <w:pStyle w:val="Level1Body"/>
              <w:jc w:val="left"/>
              <w:rPr>
                <w:color w:val="000000" w:themeColor="text1"/>
              </w:rPr>
            </w:pPr>
          </w:p>
          <w:p w14:paraId="02339128" w14:textId="505C1C37" w:rsidR="00934349" w:rsidRPr="004D2206" w:rsidRDefault="00934349" w:rsidP="00FC7789">
            <w:pPr>
              <w:pStyle w:val="Level1Body"/>
              <w:jc w:val="left"/>
              <w:rPr>
                <w:color w:val="000000" w:themeColor="text1"/>
              </w:rPr>
            </w:pPr>
            <w:r w:rsidRPr="004D2206">
              <w:rPr>
                <w:color w:val="000000" w:themeColor="text1"/>
              </w:rPr>
              <w:t xml:space="preserve"> </w:t>
            </w:r>
          </w:p>
        </w:tc>
      </w:tr>
      <w:tr w:rsidR="00934349" w14:paraId="22478E96" w14:textId="77777777" w:rsidTr="00851875">
        <w:tc>
          <w:tcPr>
            <w:tcW w:w="961" w:type="dxa"/>
          </w:tcPr>
          <w:p w14:paraId="09714D8E" w14:textId="1D75D7F7" w:rsidR="00934349" w:rsidRDefault="00934349" w:rsidP="00934349">
            <w:pPr>
              <w:pStyle w:val="Level1Body"/>
            </w:pPr>
            <w:r>
              <w:t>7.</w:t>
            </w:r>
          </w:p>
        </w:tc>
        <w:tc>
          <w:tcPr>
            <w:tcW w:w="1883" w:type="dxa"/>
          </w:tcPr>
          <w:p w14:paraId="5AB8FF99" w14:textId="45660114" w:rsidR="00934349" w:rsidRPr="00102B6B" w:rsidRDefault="00934349" w:rsidP="00934349">
            <w:pPr>
              <w:spacing w:before="240" w:after="240"/>
              <w:jc w:val="center"/>
              <w:rPr>
                <w:rFonts w:cs="Arial"/>
                <w:sz w:val="18"/>
                <w:szCs w:val="18"/>
              </w:rPr>
            </w:pPr>
            <w:r w:rsidRPr="00027ED9">
              <w:rPr>
                <w:rFonts w:cs="Arial"/>
                <w:sz w:val="18"/>
                <w:szCs w:val="18"/>
              </w:rPr>
              <w:t>ATTACHMENT D – PERFORMANCE GUARANTEES</w:t>
            </w:r>
          </w:p>
        </w:tc>
        <w:tc>
          <w:tcPr>
            <w:tcW w:w="1462" w:type="dxa"/>
          </w:tcPr>
          <w:p w14:paraId="06328792" w14:textId="4A0D3F89" w:rsidR="00934349" w:rsidRDefault="00934349" w:rsidP="00934349">
            <w:pPr>
              <w:pStyle w:val="Level1Body"/>
              <w:jc w:val="center"/>
              <w:rPr>
                <w:rFonts w:cs="Arial"/>
              </w:rPr>
            </w:pPr>
            <w:r>
              <w:rPr>
                <w:rFonts w:cs="Arial"/>
              </w:rPr>
              <w:t>Row 13</w:t>
            </w:r>
          </w:p>
        </w:tc>
        <w:tc>
          <w:tcPr>
            <w:tcW w:w="3074" w:type="dxa"/>
          </w:tcPr>
          <w:p w14:paraId="72ABAE8E" w14:textId="77777777" w:rsidR="00934349" w:rsidRDefault="00934349" w:rsidP="00934349">
            <w:pPr>
              <w:jc w:val="left"/>
              <w:rPr>
                <w:rFonts w:cs="Arial"/>
              </w:rPr>
            </w:pPr>
            <w:r w:rsidRPr="00041AA8">
              <w:rPr>
                <w:rFonts w:cs="Arial"/>
                <w:b/>
                <w:bCs/>
              </w:rPr>
              <w:t>Medical Prior Authorizations and Medical Pre-Certifications:</w:t>
            </w:r>
            <w:r>
              <w:rPr>
                <w:rFonts w:cs="Arial"/>
              </w:rPr>
              <w:t xml:space="preserve">  In regard to the requirement for prior (incumbent) Prior Authorizations (PAs) and Pre-certs being processed “within two business days of receipt”, can the State please confirm if this means two days from the date the PAs are loaded into our systems, or does it mean within two days of receiving the incumbent administrator’s file of existing PAs? </w:t>
            </w:r>
          </w:p>
          <w:p w14:paraId="5B87B099" w14:textId="3F5471F3" w:rsidR="00934349" w:rsidRDefault="00934349" w:rsidP="00934349">
            <w:pPr>
              <w:pStyle w:val="Level1Body"/>
              <w:jc w:val="left"/>
              <w:rPr>
                <w:rFonts w:cs="Arial"/>
              </w:rPr>
            </w:pPr>
            <w:r>
              <w:rPr>
                <w:rFonts w:cs="Arial"/>
              </w:rPr>
              <w:t xml:space="preserve">Is the State asking for processing prior to the effective date of 7/1/2026, which would be the winning bidder’s start date for administration? We will honor these existing PAs and </w:t>
            </w:r>
            <w:r>
              <w:rPr>
                <w:rFonts w:cs="Arial"/>
              </w:rPr>
              <w:lastRenderedPageBreak/>
              <w:t>Precerts; however, we are just asking for clarification on “processing within two days” since the file would be received prior to the go live effective date.</w:t>
            </w:r>
          </w:p>
        </w:tc>
        <w:tc>
          <w:tcPr>
            <w:tcW w:w="3420" w:type="dxa"/>
          </w:tcPr>
          <w:p w14:paraId="7F8EBF23" w14:textId="1841B0E3" w:rsidR="00934349" w:rsidRPr="00712961" w:rsidRDefault="00934349" w:rsidP="00FC7789">
            <w:pPr>
              <w:pStyle w:val="Level1Body"/>
              <w:jc w:val="left"/>
              <w:rPr>
                <w:color w:val="000000" w:themeColor="text1"/>
              </w:rPr>
            </w:pPr>
            <w:r w:rsidRPr="00712961">
              <w:rPr>
                <w:color w:val="000000" w:themeColor="text1"/>
              </w:rPr>
              <w:lastRenderedPageBreak/>
              <w:t xml:space="preserve">The State </w:t>
            </w:r>
            <w:r w:rsidR="008377BB" w:rsidRPr="00712961">
              <w:rPr>
                <w:color w:val="000000" w:themeColor="text1"/>
              </w:rPr>
              <w:t xml:space="preserve">requires </w:t>
            </w:r>
            <w:r w:rsidRPr="00712961">
              <w:rPr>
                <w:color w:val="000000" w:themeColor="text1"/>
              </w:rPr>
              <w:t>that there is no lapse or interruption in claims processing effective 07/01/2026 for</w:t>
            </w:r>
            <w:r w:rsidR="0087626A" w:rsidRPr="00712961">
              <w:rPr>
                <w:color w:val="000000" w:themeColor="text1"/>
              </w:rPr>
              <w:t xml:space="preserve"> ex</w:t>
            </w:r>
            <w:r w:rsidR="00717197" w:rsidRPr="00712961">
              <w:rPr>
                <w:color w:val="000000" w:themeColor="text1"/>
              </w:rPr>
              <w:t>i</w:t>
            </w:r>
            <w:r w:rsidR="0087626A" w:rsidRPr="00712961">
              <w:rPr>
                <w:color w:val="000000" w:themeColor="text1"/>
              </w:rPr>
              <w:t>sting</w:t>
            </w:r>
            <w:r w:rsidRPr="00712961">
              <w:rPr>
                <w:color w:val="000000" w:themeColor="text1"/>
              </w:rPr>
              <w:t xml:space="preserve"> PAs and Pre-certs already approved under the current carrier. If the approved PAs and Pre-certs data is received by</w:t>
            </w:r>
            <w:r w:rsidR="004D2206" w:rsidRPr="00712961">
              <w:rPr>
                <w:color w:val="000000" w:themeColor="text1"/>
              </w:rPr>
              <w:t xml:space="preserve"> awarded</w:t>
            </w:r>
            <w:r w:rsidRPr="00712961">
              <w:rPr>
                <w:color w:val="000000" w:themeColor="text1"/>
              </w:rPr>
              <w:t xml:space="preserve"> bidder before the 07/01/2026 effective date, the </w:t>
            </w:r>
            <w:r w:rsidR="004D2206" w:rsidRPr="00712961">
              <w:rPr>
                <w:color w:val="000000" w:themeColor="text1"/>
              </w:rPr>
              <w:t xml:space="preserve">awarded </w:t>
            </w:r>
            <w:r w:rsidRPr="00712961">
              <w:rPr>
                <w:color w:val="000000" w:themeColor="text1"/>
              </w:rPr>
              <w:t xml:space="preserve">bidder’s system should capture these approvals and process claims accordingly effective 07/01/2026. If the approved PAs and Pre-certs data is received by </w:t>
            </w:r>
            <w:r w:rsidR="004D2206" w:rsidRPr="00712961">
              <w:rPr>
                <w:color w:val="000000" w:themeColor="text1"/>
              </w:rPr>
              <w:t xml:space="preserve">awarded </w:t>
            </w:r>
            <w:r w:rsidRPr="00712961">
              <w:rPr>
                <w:color w:val="000000" w:themeColor="text1"/>
              </w:rPr>
              <w:t xml:space="preserve">bidder after 07/01/2026, </w:t>
            </w:r>
            <w:r w:rsidR="008377BB" w:rsidRPr="00712961">
              <w:rPr>
                <w:color w:val="000000" w:themeColor="text1"/>
              </w:rPr>
              <w:t xml:space="preserve">these should be processed </w:t>
            </w:r>
            <w:r w:rsidRPr="00712961">
              <w:rPr>
                <w:color w:val="000000" w:themeColor="text1"/>
              </w:rPr>
              <w:t xml:space="preserve">within two </w:t>
            </w:r>
            <w:r w:rsidR="009D61B6" w:rsidRPr="00712961">
              <w:rPr>
                <w:color w:val="000000" w:themeColor="text1"/>
              </w:rPr>
              <w:t xml:space="preserve">business </w:t>
            </w:r>
            <w:r w:rsidRPr="00712961">
              <w:rPr>
                <w:color w:val="000000" w:themeColor="text1"/>
              </w:rPr>
              <w:t xml:space="preserve">days from date </w:t>
            </w:r>
            <w:r w:rsidR="009D61B6" w:rsidRPr="00712961">
              <w:rPr>
                <w:color w:val="000000" w:themeColor="text1"/>
              </w:rPr>
              <w:t>received</w:t>
            </w:r>
            <w:r w:rsidR="008377BB" w:rsidRPr="00712961">
              <w:rPr>
                <w:color w:val="000000" w:themeColor="text1"/>
              </w:rPr>
              <w:t xml:space="preserve">. </w:t>
            </w:r>
          </w:p>
        </w:tc>
      </w:tr>
      <w:tr w:rsidR="00934349" w14:paraId="28E60485" w14:textId="77777777" w:rsidTr="00851875">
        <w:tc>
          <w:tcPr>
            <w:tcW w:w="961" w:type="dxa"/>
          </w:tcPr>
          <w:p w14:paraId="11CC7E45" w14:textId="6A2CCECA" w:rsidR="00934349" w:rsidRDefault="00934349" w:rsidP="00934349">
            <w:pPr>
              <w:pStyle w:val="Level1Body"/>
            </w:pPr>
            <w:r>
              <w:t>8.</w:t>
            </w:r>
          </w:p>
        </w:tc>
        <w:tc>
          <w:tcPr>
            <w:tcW w:w="1883" w:type="dxa"/>
          </w:tcPr>
          <w:p w14:paraId="6D14E85E" w14:textId="7EF8FB5A" w:rsidR="00934349" w:rsidRPr="00027ED9" w:rsidRDefault="00934349" w:rsidP="00934349">
            <w:pPr>
              <w:spacing w:before="240" w:after="240"/>
              <w:jc w:val="center"/>
              <w:rPr>
                <w:rFonts w:cs="Arial"/>
                <w:sz w:val="18"/>
                <w:szCs w:val="18"/>
              </w:rPr>
            </w:pPr>
            <w:r w:rsidRPr="00027ED9">
              <w:rPr>
                <w:rFonts w:cs="Arial"/>
                <w:sz w:val="18"/>
                <w:szCs w:val="18"/>
              </w:rPr>
              <w:t>ATTACHMENT D – PERFORMANCE GUARANTEES</w:t>
            </w:r>
          </w:p>
        </w:tc>
        <w:tc>
          <w:tcPr>
            <w:tcW w:w="1462" w:type="dxa"/>
          </w:tcPr>
          <w:p w14:paraId="56234D0B" w14:textId="0AA4B447" w:rsidR="00934349" w:rsidRDefault="00934349" w:rsidP="00934349">
            <w:pPr>
              <w:pStyle w:val="Level1Body"/>
              <w:jc w:val="center"/>
              <w:rPr>
                <w:rFonts w:cs="Arial"/>
              </w:rPr>
            </w:pPr>
            <w:r>
              <w:rPr>
                <w:rFonts w:cs="Arial"/>
              </w:rPr>
              <w:t>Row 50</w:t>
            </w:r>
          </w:p>
        </w:tc>
        <w:tc>
          <w:tcPr>
            <w:tcW w:w="3074" w:type="dxa"/>
          </w:tcPr>
          <w:p w14:paraId="3EC5C04B" w14:textId="77777777" w:rsidR="00934349" w:rsidRDefault="00934349" w:rsidP="00934349">
            <w:pPr>
              <w:jc w:val="left"/>
              <w:rPr>
                <w:rFonts w:cs="Arial"/>
              </w:rPr>
            </w:pPr>
            <w:r w:rsidRPr="00041AA8">
              <w:rPr>
                <w:rFonts w:cs="Arial"/>
                <w:b/>
                <w:bCs/>
              </w:rPr>
              <w:t>Referrals to Case Management:</w:t>
            </w:r>
            <w:r w:rsidRPr="00041AA8">
              <w:rPr>
                <w:rFonts w:cs="Arial"/>
              </w:rPr>
              <w:t xml:space="preserve">  </w:t>
            </w:r>
            <w:r>
              <w:rPr>
                <w:rFonts w:cs="Arial"/>
              </w:rPr>
              <w:t xml:space="preserve">Can the State please clarify what constitutes a referral, i.e., does a referral mean that a member is referred to Case Management outside of our normal priority algorithm? </w:t>
            </w:r>
          </w:p>
          <w:p w14:paraId="234F723E" w14:textId="436ECA33" w:rsidR="00934349" w:rsidRPr="00041AA8" w:rsidRDefault="00934349" w:rsidP="00934349">
            <w:pPr>
              <w:spacing w:before="240"/>
              <w:jc w:val="left"/>
              <w:rPr>
                <w:rFonts w:cs="Arial"/>
                <w:b/>
                <w:bCs/>
              </w:rPr>
            </w:pPr>
            <w:r>
              <w:rPr>
                <w:rFonts w:cs="Arial"/>
              </w:rPr>
              <w:t>Will the State provide a direct contact for outreach on obtaining valid phone numbers?</w:t>
            </w:r>
          </w:p>
        </w:tc>
        <w:tc>
          <w:tcPr>
            <w:tcW w:w="3420" w:type="dxa"/>
          </w:tcPr>
          <w:p w14:paraId="6BA6EDD1" w14:textId="3ABAB342" w:rsidR="00C76ED2" w:rsidRPr="00F076A8" w:rsidRDefault="009D61B6" w:rsidP="00C76ED2">
            <w:pPr>
              <w:pStyle w:val="Level1Body"/>
              <w:jc w:val="left"/>
              <w:rPr>
                <w:color w:val="000000" w:themeColor="text1"/>
              </w:rPr>
            </w:pPr>
            <w:r w:rsidRPr="00F076A8">
              <w:rPr>
                <w:color w:val="000000" w:themeColor="text1"/>
              </w:rPr>
              <w:t xml:space="preserve">In this PG, referrals </w:t>
            </w:r>
            <w:r w:rsidR="00FC7789" w:rsidRPr="00F076A8">
              <w:rPr>
                <w:color w:val="000000" w:themeColor="text1"/>
              </w:rPr>
              <w:t>mean</w:t>
            </w:r>
            <w:r w:rsidR="00C76ED2" w:rsidRPr="00F076A8">
              <w:rPr>
                <w:color w:val="000000" w:themeColor="text1"/>
              </w:rPr>
              <w:t xml:space="preserve"> participants who are identified or</w:t>
            </w:r>
            <w:r w:rsidRPr="00F076A8">
              <w:rPr>
                <w:color w:val="000000" w:themeColor="text1"/>
              </w:rPr>
              <w:t xml:space="preserve"> are</w:t>
            </w:r>
            <w:r w:rsidR="00C76ED2" w:rsidRPr="00F076A8">
              <w:rPr>
                <w:color w:val="000000" w:themeColor="text1"/>
              </w:rPr>
              <w:t xml:space="preserve"> determined </w:t>
            </w:r>
            <w:r w:rsidRPr="00F076A8">
              <w:rPr>
                <w:color w:val="000000" w:themeColor="text1"/>
              </w:rPr>
              <w:t>to</w:t>
            </w:r>
            <w:r w:rsidR="00C76ED2" w:rsidRPr="00F076A8">
              <w:rPr>
                <w:color w:val="000000" w:themeColor="text1"/>
              </w:rPr>
              <w:t xml:space="preserve"> benefit from case management, complex case management and disease management programs</w:t>
            </w:r>
            <w:r w:rsidR="00D15AD6" w:rsidRPr="00F076A8">
              <w:rPr>
                <w:color w:val="000000" w:themeColor="text1"/>
              </w:rPr>
              <w:t>.</w:t>
            </w:r>
            <w:r w:rsidR="00C76ED2" w:rsidRPr="00F076A8">
              <w:rPr>
                <w:color w:val="000000" w:themeColor="text1"/>
              </w:rPr>
              <w:t xml:space="preserve"> </w:t>
            </w:r>
          </w:p>
          <w:p w14:paraId="4C69AC88" w14:textId="77777777" w:rsidR="009D61B6" w:rsidRPr="00F076A8" w:rsidRDefault="009D61B6" w:rsidP="00C76ED2">
            <w:pPr>
              <w:pStyle w:val="Level1Body"/>
              <w:jc w:val="left"/>
              <w:rPr>
                <w:color w:val="000000" w:themeColor="text1"/>
              </w:rPr>
            </w:pPr>
          </w:p>
          <w:p w14:paraId="39DE86CC" w14:textId="6BCF407E" w:rsidR="009D61B6" w:rsidRPr="00F076A8" w:rsidRDefault="009D61B6" w:rsidP="00C76ED2">
            <w:pPr>
              <w:pStyle w:val="Level1Body"/>
              <w:jc w:val="left"/>
              <w:rPr>
                <w:color w:val="000000" w:themeColor="text1"/>
              </w:rPr>
            </w:pPr>
            <w:r w:rsidRPr="00F076A8">
              <w:rPr>
                <w:color w:val="000000" w:themeColor="text1"/>
              </w:rPr>
              <w:t xml:space="preserve">The State will provide direct contact for outreach, if available. </w:t>
            </w:r>
          </w:p>
        </w:tc>
      </w:tr>
      <w:tr w:rsidR="00934349" w14:paraId="6FF0B2D2" w14:textId="77777777" w:rsidTr="00C76ED2">
        <w:tc>
          <w:tcPr>
            <w:tcW w:w="961" w:type="dxa"/>
          </w:tcPr>
          <w:p w14:paraId="6E763408" w14:textId="0920BDE2" w:rsidR="00934349" w:rsidRDefault="00934349" w:rsidP="00934349">
            <w:pPr>
              <w:pStyle w:val="Level1Body"/>
            </w:pPr>
            <w:r>
              <w:t>9.</w:t>
            </w:r>
          </w:p>
        </w:tc>
        <w:tc>
          <w:tcPr>
            <w:tcW w:w="1883" w:type="dxa"/>
          </w:tcPr>
          <w:p w14:paraId="47B708A6" w14:textId="263CD0B9" w:rsidR="00934349" w:rsidRDefault="00934349" w:rsidP="00934349">
            <w:pPr>
              <w:spacing w:before="240" w:after="240"/>
              <w:jc w:val="center"/>
              <w:rPr>
                <w:rFonts w:cs="Arial"/>
                <w:b/>
                <w:bCs/>
              </w:rPr>
            </w:pPr>
            <w:r w:rsidRPr="00027ED9">
              <w:rPr>
                <w:rFonts w:cs="Arial"/>
                <w:sz w:val="18"/>
                <w:szCs w:val="18"/>
              </w:rPr>
              <w:t>ATTACHMENT D – PERFORMANCE GUARANTEES</w:t>
            </w:r>
          </w:p>
        </w:tc>
        <w:tc>
          <w:tcPr>
            <w:tcW w:w="1462" w:type="dxa"/>
          </w:tcPr>
          <w:p w14:paraId="53D397F4" w14:textId="76F2999E" w:rsidR="00934349" w:rsidRDefault="00934349" w:rsidP="00934349">
            <w:pPr>
              <w:pStyle w:val="Level1Body"/>
              <w:jc w:val="center"/>
              <w:rPr>
                <w:rFonts w:cs="Arial"/>
              </w:rPr>
            </w:pPr>
            <w:r>
              <w:rPr>
                <w:rFonts w:cs="Arial"/>
              </w:rPr>
              <w:t>Row 52</w:t>
            </w:r>
          </w:p>
        </w:tc>
        <w:tc>
          <w:tcPr>
            <w:tcW w:w="3074" w:type="dxa"/>
          </w:tcPr>
          <w:p w14:paraId="777948B3" w14:textId="1585E76E" w:rsidR="00934349" w:rsidRPr="00041AA8" w:rsidRDefault="00934349" w:rsidP="00934349">
            <w:pPr>
              <w:jc w:val="left"/>
              <w:rPr>
                <w:rFonts w:cs="Arial"/>
                <w:b/>
                <w:bCs/>
              </w:rPr>
            </w:pPr>
            <w:r w:rsidRPr="00EC0333">
              <w:rPr>
                <w:rFonts w:cs="Arial"/>
                <w:b/>
                <w:bCs/>
              </w:rPr>
              <w:t>Timely Post Discharge Counseling:</w:t>
            </w:r>
            <w:r>
              <w:rPr>
                <w:rFonts w:cs="Arial"/>
              </w:rPr>
              <w:t xml:space="preserve">  The request is for the denominator to be members qualified for a transitional case management (post discharge) call.  Can the State please confirm the denominator would be any member in an inpatient hospital setting with a known discharge date?  </w:t>
            </w:r>
          </w:p>
        </w:tc>
        <w:tc>
          <w:tcPr>
            <w:tcW w:w="3420" w:type="dxa"/>
            <w:shd w:val="clear" w:color="auto" w:fill="auto"/>
          </w:tcPr>
          <w:p w14:paraId="02E6EBCC" w14:textId="6C71B2A2" w:rsidR="00C76ED2" w:rsidRPr="00F076A8" w:rsidRDefault="00C76ED2" w:rsidP="00C76ED2">
            <w:pPr>
              <w:pStyle w:val="Level1Body"/>
              <w:jc w:val="left"/>
              <w:rPr>
                <w:color w:val="000000" w:themeColor="text1"/>
              </w:rPr>
            </w:pPr>
            <w:r w:rsidRPr="00F076A8">
              <w:rPr>
                <w:color w:val="000000" w:themeColor="text1"/>
              </w:rPr>
              <w:t>Yes</w:t>
            </w:r>
            <w:r w:rsidR="009D61B6" w:rsidRPr="00F076A8">
              <w:rPr>
                <w:color w:val="000000" w:themeColor="text1"/>
              </w:rPr>
              <w:t>.</w:t>
            </w:r>
          </w:p>
        </w:tc>
      </w:tr>
      <w:tr w:rsidR="00934349" w14:paraId="1AF78F2F" w14:textId="77777777" w:rsidTr="00C76ED2">
        <w:tc>
          <w:tcPr>
            <w:tcW w:w="961" w:type="dxa"/>
          </w:tcPr>
          <w:p w14:paraId="2EEB5FD1" w14:textId="70F88368" w:rsidR="00934349" w:rsidRDefault="00934349" w:rsidP="00934349">
            <w:pPr>
              <w:pStyle w:val="Level1Body"/>
            </w:pPr>
            <w:bookmarkStart w:id="3" w:name="_Hlk201675853"/>
            <w:r>
              <w:t>10.</w:t>
            </w:r>
          </w:p>
        </w:tc>
        <w:tc>
          <w:tcPr>
            <w:tcW w:w="1883" w:type="dxa"/>
          </w:tcPr>
          <w:p w14:paraId="16C7A75A" w14:textId="06CD1D04" w:rsidR="00934349" w:rsidRDefault="00934349" w:rsidP="00934349">
            <w:pPr>
              <w:spacing w:before="240" w:after="240"/>
              <w:jc w:val="center"/>
              <w:rPr>
                <w:rFonts w:cs="Arial"/>
                <w:b/>
                <w:bCs/>
              </w:rPr>
            </w:pPr>
            <w:r w:rsidRPr="00027ED9">
              <w:rPr>
                <w:rFonts w:cs="Arial"/>
                <w:sz w:val="18"/>
                <w:szCs w:val="18"/>
              </w:rPr>
              <w:t>ATTACHMENT D – PERFORMANCE GUARANTEES</w:t>
            </w:r>
          </w:p>
        </w:tc>
        <w:tc>
          <w:tcPr>
            <w:tcW w:w="1462" w:type="dxa"/>
          </w:tcPr>
          <w:p w14:paraId="046BD3AF" w14:textId="12C542D8" w:rsidR="00934349" w:rsidRDefault="00934349" w:rsidP="00934349">
            <w:pPr>
              <w:pStyle w:val="Level1Body"/>
              <w:jc w:val="center"/>
              <w:rPr>
                <w:rFonts w:cs="Arial"/>
              </w:rPr>
            </w:pPr>
            <w:r>
              <w:rPr>
                <w:rFonts w:cs="Arial"/>
              </w:rPr>
              <w:t>Row 55</w:t>
            </w:r>
          </w:p>
        </w:tc>
        <w:tc>
          <w:tcPr>
            <w:tcW w:w="3074" w:type="dxa"/>
          </w:tcPr>
          <w:p w14:paraId="37A48597" w14:textId="38354822" w:rsidR="00934349" w:rsidRPr="00041AA8" w:rsidRDefault="00934349" w:rsidP="00934349">
            <w:pPr>
              <w:jc w:val="left"/>
              <w:rPr>
                <w:rFonts w:cs="Arial"/>
                <w:b/>
                <w:bCs/>
              </w:rPr>
            </w:pPr>
            <w:r w:rsidRPr="001B6EBA">
              <w:rPr>
                <w:rFonts w:cs="Arial"/>
                <w:b/>
                <w:bCs/>
              </w:rPr>
              <w:t>Clinical Program Engagement:</w:t>
            </w:r>
            <w:r>
              <w:rPr>
                <w:rFonts w:cs="Arial"/>
              </w:rPr>
              <w:t xml:space="preserve">  Can the State please confirm that </w:t>
            </w:r>
            <w:bookmarkStart w:id="4" w:name="_Hlk201676174"/>
            <w:r>
              <w:rPr>
                <w:rFonts w:cs="Arial"/>
              </w:rPr>
              <w:t xml:space="preserve">the activities listed in cell B55 are as they relate to the health plan’s care program offerings </w:t>
            </w:r>
            <w:bookmarkEnd w:id="4"/>
            <w:r>
              <w:rPr>
                <w:rFonts w:cs="Arial"/>
              </w:rPr>
              <w:t xml:space="preserve">and exclude additional buy-up programs that could have an engagement component (e.g., a separate vendor program for diabetes management)?  </w:t>
            </w:r>
          </w:p>
        </w:tc>
        <w:tc>
          <w:tcPr>
            <w:tcW w:w="3420" w:type="dxa"/>
            <w:shd w:val="clear" w:color="auto" w:fill="auto"/>
          </w:tcPr>
          <w:p w14:paraId="53CCF9ED" w14:textId="5A418464" w:rsidR="00C76ED2" w:rsidRPr="00712961" w:rsidRDefault="00B9201A" w:rsidP="00C76ED2">
            <w:pPr>
              <w:pStyle w:val="Level1Body"/>
              <w:jc w:val="left"/>
              <w:rPr>
                <w:color w:val="000000" w:themeColor="text1"/>
              </w:rPr>
            </w:pPr>
            <w:r w:rsidRPr="00712961">
              <w:rPr>
                <w:color w:val="000000" w:themeColor="text1"/>
              </w:rPr>
              <w:t>Yes,</w:t>
            </w:r>
            <w:r w:rsidR="00C76ED2" w:rsidRPr="00712961">
              <w:rPr>
                <w:color w:val="000000" w:themeColor="text1"/>
              </w:rPr>
              <w:t xml:space="preserve"> </w:t>
            </w:r>
            <w:r w:rsidR="00F10CC6" w:rsidRPr="00712961">
              <w:rPr>
                <w:color w:val="000000" w:themeColor="text1"/>
              </w:rPr>
              <w:t xml:space="preserve">the activities listed in cell B55 are related to the health plan’s care program offerings and exclude any additional buy-up programs. </w:t>
            </w:r>
          </w:p>
          <w:p w14:paraId="3C7D2824" w14:textId="77777777" w:rsidR="00F10CC6" w:rsidRPr="00C76ED2" w:rsidRDefault="00F10CC6" w:rsidP="00C76ED2">
            <w:pPr>
              <w:pStyle w:val="Level1Body"/>
              <w:jc w:val="left"/>
              <w:rPr>
                <w:color w:val="4472C4" w:themeColor="accent1"/>
              </w:rPr>
            </w:pPr>
          </w:p>
          <w:p w14:paraId="3DA5C15B" w14:textId="790AD007" w:rsidR="00C76ED2" w:rsidRPr="00C76ED2" w:rsidRDefault="00C76ED2" w:rsidP="00C76ED2">
            <w:pPr>
              <w:pStyle w:val="Level1Body"/>
              <w:jc w:val="left"/>
              <w:rPr>
                <w:color w:val="4472C4" w:themeColor="accent1"/>
              </w:rPr>
            </w:pPr>
          </w:p>
        </w:tc>
      </w:tr>
      <w:bookmarkEnd w:id="3"/>
      <w:tr w:rsidR="00934349" w14:paraId="259176CC" w14:textId="77777777" w:rsidTr="00B9201A">
        <w:tc>
          <w:tcPr>
            <w:tcW w:w="961" w:type="dxa"/>
          </w:tcPr>
          <w:p w14:paraId="47F9A4BA" w14:textId="0BBEC134" w:rsidR="00934349" w:rsidRDefault="00934349" w:rsidP="00934349">
            <w:pPr>
              <w:pStyle w:val="Level1Body"/>
            </w:pPr>
            <w:r>
              <w:t>11.</w:t>
            </w:r>
          </w:p>
        </w:tc>
        <w:tc>
          <w:tcPr>
            <w:tcW w:w="1883" w:type="dxa"/>
          </w:tcPr>
          <w:p w14:paraId="6951310A" w14:textId="77777777" w:rsidR="00934349" w:rsidRPr="00851875" w:rsidRDefault="00934349" w:rsidP="00934349">
            <w:pPr>
              <w:spacing w:before="240" w:after="240"/>
              <w:jc w:val="center"/>
              <w:rPr>
                <w:rFonts w:cs="Arial"/>
                <w:sz w:val="18"/>
                <w:szCs w:val="18"/>
              </w:rPr>
            </w:pPr>
            <w:r w:rsidRPr="00851875">
              <w:rPr>
                <w:rFonts w:cs="Arial"/>
                <w:sz w:val="18"/>
                <w:szCs w:val="18"/>
              </w:rPr>
              <w:t>ATTACHMENT C – QUESTIONNAIRE</w:t>
            </w:r>
          </w:p>
          <w:p w14:paraId="6AD3450A" w14:textId="77777777" w:rsidR="00934349" w:rsidRPr="00851875" w:rsidRDefault="00934349" w:rsidP="00934349">
            <w:pPr>
              <w:spacing w:before="240" w:after="240"/>
              <w:jc w:val="center"/>
              <w:rPr>
                <w:rFonts w:cs="Arial"/>
                <w:sz w:val="18"/>
                <w:szCs w:val="18"/>
              </w:rPr>
            </w:pPr>
            <w:r w:rsidRPr="00851875">
              <w:rPr>
                <w:rFonts w:cs="Arial"/>
                <w:sz w:val="18"/>
                <w:szCs w:val="18"/>
              </w:rPr>
              <w:t>And</w:t>
            </w:r>
          </w:p>
          <w:p w14:paraId="460C8CDD" w14:textId="77777777" w:rsidR="00934349" w:rsidRPr="00851875" w:rsidRDefault="00934349" w:rsidP="00934349">
            <w:pPr>
              <w:spacing w:before="240" w:after="240"/>
              <w:jc w:val="center"/>
              <w:rPr>
                <w:rFonts w:cs="Arial"/>
                <w:sz w:val="18"/>
                <w:szCs w:val="18"/>
              </w:rPr>
            </w:pPr>
            <w:r w:rsidRPr="00851875">
              <w:rPr>
                <w:rFonts w:cs="Arial"/>
                <w:sz w:val="18"/>
                <w:szCs w:val="18"/>
              </w:rPr>
              <w:t>NEBRASKA NETWORK ACCESS FILE</w:t>
            </w:r>
          </w:p>
          <w:p w14:paraId="4F314145" w14:textId="77777777" w:rsidR="00934349" w:rsidRPr="00027ED9" w:rsidRDefault="00934349" w:rsidP="00934349">
            <w:pPr>
              <w:spacing w:before="240" w:after="240"/>
              <w:jc w:val="center"/>
              <w:rPr>
                <w:rFonts w:cs="Arial"/>
                <w:sz w:val="18"/>
                <w:szCs w:val="18"/>
              </w:rPr>
            </w:pPr>
          </w:p>
        </w:tc>
        <w:tc>
          <w:tcPr>
            <w:tcW w:w="1462" w:type="dxa"/>
          </w:tcPr>
          <w:p w14:paraId="46C3C1B6" w14:textId="77777777" w:rsidR="00934349" w:rsidRDefault="00934349" w:rsidP="00934349">
            <w:pPr>
              <w:spacing w:before="240"/>
              <w:jc w:val="center"/>
              <w:rPr>
                <w:rFonts w:cs="Arial"/>
              </w:rPr>
            </w:pPr>
            <w:r>
              <w:rPr>
                <w:rFonts w:cs="Arial"/>
              </w:rPr>
              <w:t>Section H.1 of Questionnaire</w:t>
            </w:r>
          </w:p>
          <w:p w14:paraId="5EEB3550" w14:textId="77777777" w:rsidR="00934349" w:rsidRDefault="00934349" w:rsidP="00934349">
            <w:pPr>
              <w:jc w:val="center"/>
              <w:rPr>
                <w:rFonts w:cs="Arial"/>
              </w:rPr>
            </w:pPr>
          </w:p>
          <w:p w14:paraId="006921DF" w14:textId="77777777" w:rsidR="00934349" w:rsidRDefault="00934349" w:rsidP="00934349">
            <w:pPr>
              <w:spacing w:before="240"/>
              <w:jc w:val="center"/>
              <w:rPr>
                <w:rFonts w:cs="Arial"/>
              </w:rPr>
            </w:pPr>
            <w:r>
              <w:rPr>
                <w:rFonts w:cs="Arial"/>
              </w:rPr>
              <w:t>Entire File</w:t>
            </w:r>
          </w:p>
          <w:p w14:paraId="1694CC59" w14:textId="77777777" w:rsidR="00934349" w:rsidRDefault="00934349" w:rsidP="00934349">
            <w:pPr>
              <w:pStyle w:val="Level1Body"/>
              <w:jc w:val="center"/>
              <w:rPr>
                <w:rFonts w:cs="Arial"/>
              </w:rPr>
            </w:pPr>
          </w:p>
          <w:p w14:paraId="1C2A9392" w14:textId="77777777" w:rsidR="00934349" w:rsidRPr="00851875" w:rsidRDefault="00934349" w:rsidP="00934349"/>
          <w:p w14:paraId="5251E07A" w14:textId="77777777" w:rsidR="00934349" w:rsidRDefault="00934349" w:rsidP="00934349">
            <w:pPr>
              <w:rPr>
                <w:rFonts w:cs="Arial"/>
                <w:color w:val="000000"/>
              </w:rPr>
            </w:pPr>
          </w:p>
          <w:p w14:paraId="4A5C01F4" w14:textId="77777777" w:rsidR="00934349" w:rsidRDefault="00934349" w:rsidP="00934349">
            <w:pPr>
              <w:rPr>
                <w:rFonts w:cs="Arial"/>
                <w:color w:val="000000"/>
              </w:rPr>
            </w:pPr>
          </w:p>
          <w:p w14:paraId="2FA1DBC5" w14:textId="77777777" w:rsidR="00934349" w:rsidRPr="00851875" w:rsidRDefault="00934349" w:rsidP="00934349"/>
        </w:tc>
        <w:tc>
          <w:tcPr>
            <w:tcW w:w="3074" w:type="dxa"/>
          </w:tcPr>
          <w:p w14:paraId="258E941C" w14:textId="77777777" w:rsidR="00934349" w:rsidRDefault="00934349" w:rsidP="00934349">
            <w:pPr>
              <w:jc w:val="left"/>
              <w:rPr>
                <w:rFonts w:cs="Arial"/>
              </w:rPr>
            </w:pPr>
            <w:r>
              <w:rPr>
                <w:rFonts w:cs="Arial"/>
              </w:rPr>
              <w:t>The Attachment C Questionnaire, Section H.1. (Network Access and Management), requests information on the following:</w:t>
            </w:r>
          </w:p>
          <w:p w14:paraId="69D4CBAA" w14:textId="77777777" w:rsidR="00934349" w:rsidRDefault="00934349" w:rsidP="00934349">
            <w:pPr>
              <w:spacing w:before="240"/>
              <w:jc w:val="left"/>
              <w:rPr>
                <w:rFonts w:cs="Arial"/>
              </w:rPr>
            </w:pPr>
            <w:r>
              <w:rPr>
                <w:rFonts w:cs="Arial"/>
              </w:rPr>
              <w:t xml:space="preserve">“Count of EEs/RETs” with reference to “participants”.  Based on this description, the GeoAccess reporting appears to be requested on </w:t>
            </w:r>
            <w:r w:rsidRPr="000D7D57">
              <w:rPr>
                <w:rFonts w:cs="Arial"/>
                <w:i/>
                <w:iCs/>
              </w:rPr>
              <w:t>participating subscribers</w:t>
            </w:r>
            <w:r>
              <w:rPr>
                <w:rFonts w:cs="Arial"/>
              </w:rPr>
              <w:t>, which total 13,715 per the medical census provided on 6/17/2025. There is no request to exclude out-of-state Ees/RETs, though that number is 13,458.</w:t>
            </w:r>
          </w:p>
          <w:p w14:paraId="23961C44" w14:textId="77777777" w:rsidR="00934349" w:rsidRDefault="00934349" w:rsidP="00934349">
            <w:pPr>
              <w:jc w:val="left"/>
              <w:rPr>
                <w:rFonts w:cs="Arial"/>
              </w:rPr>
            </w:pPr>
            <w:r>
              <w:rPr>
                <w:rFonts w:cs="Arial"/>
              </w:rPr>
              <w:lastRenderedPageBreak/>
              <w:t xml:space="preserve">On the file titled </w:t>
            </w:r>
            <w:r w:rsidRPr="007546FE">
              <w:rPr>
                <w:rFonts w:cs="Arial"/>
                <w:b/>
                <w:bCs/>
                <w:i/>
                <w:iCs/>
              </w:rPr>
              <w:t>Nebraska Network Access File</w:t>
            </w:r>
            <w:r w:rsidRPr="007546FE">
              <w:rPr>
                <w:rFonts w:cs="Arial"/>
                <w:b/>
                <w:bCs/>
              </w:rPr>
              <w:t>,</w:t>
            </w:r>
            <w:r>
              <w:rPr>
                <w:rFonts w:cs="Arial"/>
              </w:rPr>
              <w:t xml:space="preserve"> the State is showing only Nebraska information, and the GeoAccess request is based on Nebr members rather than employees and early retirees, which total 31,062.  This includes Nebr employees waiving coverage.</w:t>
            </w:r>
          </w:p>
          <w:p w14:paraId="50C71892" w14:textId="77777777" w:rsidR="00934349" w:rsidRDefault="00934349" w:rsidP="00934349">
            <w:pPr>
              <w:spacing w:before="240"/>
              <w:jc w:val="left"/>
              <w:rPr>
                <w:rFonts w:cs="Arial"/>
              </w:rPr>
            </w:pPr>
            <w:r>
              <w:rPr>
                <w:rFonts w:cs="Arial"/>
              </w:rPr>
              <w:t>Can the State please confirm if the Attachment C Questionnaire GeoAccess request is to be on enrolled (participating) employees and early retirees as requested (EEs/RETs) for all locations, which would be 13,715?</w:t>
            </w:r>
          </w:p>
          <w:p w14:paraId="6F78D706" w14:textId="6E97728A" w:rsidR="00934349" w:rsidRPr="003479C5" w:rsidRDefault="00934349" w:rsidP="00934349">
            <w:pPr>
              <w:spacing w:before="240"/>
              <w:jc w:val="left"/>
              <w:rPr>
                <w:rFonts w:cs="Arial"/>
              </w:rPr>
            </w:pPr>
            <w:r>
              <w:rPr>
                <w:rFonts w:cs="Arial"/>
              </w:rPr>
              <w:t>Can the State please confirm that you want the Nebraska Network Access File’s GeoAccess request to be on only Nebraska total members of 31,062?</w:t>
            </w:r>
          </w:p>
        </w:tc>
        <w:tc>
          <w:tcPr>
            <w:tcW w:w="3420" w:type="dxa"/>
            <w:shd w:val="clear" w:color="auto" w:fill="auto"/>
          </w:tcPr>
          <w:p w14:paraId="723B9E2F" w14:textId="2B4BB552" w:rsidR="00F56664" w:rsidRPr="00F076A8" w:rsidRDefault="00F56664" w:rsidP="00B9201A">
            <w:pPr>
              <w:pStyle w:val="Level1Body"/>
              <w:jc w:val="left"/>
              <w:rPr>
                <w:color w:val="000000" w:themeColor="text1"/>
              </w:rPr>
            </w:pPr>
            <w:r w:rsidRPr="00F076A8">
              <w:rPr>
                <w:color w:val="000000" w:themeColor="text1"/>
              </w:rPr>
              <w:lastRenderedPageBreak/>
              <w:t>In Attachment C Questionnaire, Section H.1., provide Geo</w:t>
            </w:r>
            <w:r w:rsidR="00E0530B" w:rsidRPr="00F076A8">
              <w:rPr>
                <w:color w:val="000000" w:themeColor="text1"/>
              </w:rPr>
              <w:t>A</w:t>
            </w:r>
            <w:r w:rsidRPr="00F076A8">
              <w:rPr>
                <w:color w:val="000000" w:themeColor="text1"/>
              </w:rPr>
              <w:t>ccess reporting, for all members (including employees, retirees and their dependents.  Use the count in the census, which is 28,386 members. This number</w:t>
            </w:r>
            <w:r w:rsidR="00E3102D" w:rsidRPr="00F076A8">
              <w:rPr>
                <w:color w:val="000000" w:themeColor="text1"/>
              </w:rPr>
              <w:t xml:space="preserve"> captures all members </w:t>
            </w:r>
            <w:r w:rsidRPr="00F076A8">
              <w:rPr>
                <w:color w:val="000000" w:themeColor="text1"/>
              </w:rPr>
              <w:t xml:space="preserve">including </w:t>
            </w:r>
            <w:r w:rsidR="00E3102D" w:rsidRPr="00F076A8">
              <w:rPr>
                <w:color w:val="000000" w:themeColor="text1"/>
              </w:rPr>
              <w:t xml:space="preserve">those </w:t>
            </w:r>
            <w:r w:rsidRPr="00F076A8">
              <w:rPr>
                <w:color w:val="000000" w:themeColor="text1"/>
              </w:rPr>
              <w:t xml:space="preserve">out of state and excluding those that waived coverage. </w:t>
            </w:r>
          </w:p>
          <w:p w14:paraId="74305A4F" w14:textId="77777777" w:rsidR="00F56664" w:rsidRPr="00F076A8" w:rsidRDefault="00F56664" w:rsidP="00B9201A">
            <w:pPr>
              <w:pStyle w:val="Level1Body"/>
              <w:jc w:val="left"/>
              <w:rPr>
                <w:color w:val="000000" w:themeColor="text1"/>
              </w:rPr>
            </w:pPr>
          </w:p>
          <w:p w14:paraId="09DE05CE" w14:textId="4B57E34A" w:rsidR="00934349" w:rsidRDefault="00E3102D" w:rsidP="00E3102D">
            <w:pPr>
              <w:pStyle w:val="Level1Body"/>
              <w:jc w:val="left"/>
            </w:pPr>
            <w:r w:rsidRPr="00F076A8">
              <w:rPr>
                <w:color w:val="000000" w:themeColor="text1"/>
              </w:rPr>
              <w:t xml:space="preserve">The </w:t>
            </w:r>
            <w:r w:rsidR="00F56664" w:rsidRPr="00F076A8">
              <w:rPr>
                <w:color w:val="000000" w:themeColor="text1"/>
              </w:rPr>
              <w:t xml:space="preserve">Network </w:t>
            </w:r>
            <w:r w:rsidRPr="00F076A8">
              <w:rPr>
                <w:color w:val="000000" w:themeColor="text1"/>
              </w:rPr>
              <w:t>A</w:t>
            </w:r>
            <w:r w:rsidR="00F56664" w:rsidRPr="00F076A8">
              <w:rPr>
                <w:color w:val="000000" w:themeColor="text1"/>
              </w:rPr>
              <w:t xml:space="preserve">ccess </w:t>
            </w:r>
            <w:r w:rsidRPr="00F076A8">
              <w:rPr>
                <w:color w:val="000000" w:themeColor="text1"/>
              </w:rPr>
              <w:t xml:space="preserve">Workbook, issued securely to Bidders with a signed NDA with Segal, will be reissued </w:t>
            </w:r>
            <w:r w:rsidR="00F56664" w:rsidRPr="00F076A8">
              <w:rPr>
                <w:color w:val="000000" w:themeColor="text1"/>
              </w:rPr>
              <w:t>to remove</w:t>
            </w:r>
            <w:r w:rsidRPr="00F076A8">
              <w:rPr>
                <w:color w:val="000000" w:themeColor="text1"/>
              </w:rPr>
              <w:t xml:space="preserve"> those that waived coverage.  The workbook will reflect </w:t>
            </w:r>
            <w:r w:rsidR="00F56664" w:rsidRPr="00F076A8">
              <w:rPr>
                <w:color w:val="000000" w:themeColor="text1"/>
              </w:rPr>
              <w:t>in</w:t>
            </w:r>
            <w:r w:rsidR="00E0530B" w:rsidRPr="00F076A8">
              <w:rPr>
                <w:color w:val="000000" w:themeColor="text1"/>
              </w:rPr>
              <w:t>-</w:t>
            </w:r>
            <w:r w:rsidR="00F56664" w:rsidRPr="00F076A8">
              <w:rPr>
                <w:color w:val="000000" w:themeColor="text1"/>
              </w:rPr>
              <w:t xml:space="preserve">state </w:t>
            </w:r>
            <w:r w:rsidRPr="00F076A8">
              <w:rPr>
                <w:color w:val="000000" w:themeColor="text1"/>
              </w:rPr>
              <w:t xml:space="preserve">members </w:t>
            </w:r>
            <w:r w:rsidR="00F56664" w:rsidRPr="00F076A8">
              <w:rPr>
                <w:color w:val="000000" w:themeColor="text1"/>
              </w:rPr>
              <w:t xml:space="preserve">only.  </w:t>
            </w:r>
            <w:r w:rsidR="00E0530B" w:rsidRPr="00F076A8">
              <w:rPr>
                <w:color w:val="000000" w:themeColor="text1"/>
              </w:rPr>
              <w:lastRenderedPageBreak/>
              <w:t>T</w:t>
            </w:r>
            <w:r w:rsidR="00F56664" w:rsidRPr="00F076A8">
              <w:rPr>
                <w:color w:val="000000" w:themeColor="text1"/>
              </w:rPr>
              <w:t>he updated workbook</w:t>
            </w:r>
            <w:r w:rsidR="00E0530B" w:rsidRPr="00F076A8">
              <w:rPr>
                <w:color w:val="000000" w:themeColor="text1"/>
              </w:rPr>
              <w:t xml:space="preserve"> count </w:t>
            </w:r>
            <w:r w:rsidRPr="00F076A8">
              <w:rPr>
                <w:color w:val="000000" w:themeColor="text1"/>
              </w:rPr>
              <w:t xml:space="preserve">is </w:t>
            </w:r>
            <w:r w:rsidR="00F56664" w:rsidRPr="00F076A8">
              <w:rPr>
                <w:color w:val="000000" w:themeColor="text1"/>
              </w:rPr>
              <w:t>27, 832</w:t>
            </w:r>
            <w:r w:rsidRPr="00F076A8">
              <w:rPr>
                <w:color w:val="000000" w:themeColor="text1"/>
              </w:rPr>
              <w:t xml:space="preserve">. </w:t>
            </w:r>
            <w:r w:rsidR="00E0530B" w:rsidRPr="00F076A8">
              <w:rPr>
                <w:color w:val="000000" w:themeColor="text1"/>
              </w:rPr>
              <w:t>P</w:t>
            </w:r>
            <w:r w:rsidRPr="00F076A8">
              <w:rPr>
                <w:color w:val="000000" w:themeColor="text1"/>
              </w:rPr>
              <w:t>revious workbook will be removed from the secure workspace.</w:t>
            </w:r>
          </w:p>
        </w:tc>
      </w:tr>
      <w:tr w:rsidR="00934349" w14:paraId="0F2646EB" w14:textId="77777777" w:rsidTr="00851875">
        <w:tc>
          <w:tcPr>
            <w:tcW w:w="961" w:type="dxa"/>
          </w:tcPr>
          <w:p w14:paraId="1AC1A15C" w14:textId="159BB1D9" w:rsidR="00934349" w:rsidRDefault="00934349" w:rsidP="00934349">
            <w:pPr>
              <w:pStyle w:val="Level1Body"/>
            </w:pPr>
            <w:r>
              <w:lastRenderedPageBreak/>
              <w:t>12.</w:t>
            </w:r>
          </w:p>
        </w:tc>
        <w:tc>
          <w:tcPr>
            <w:tcW w:w="1883" w:type="dxa"/>
          </w:tcPr>
          <w:p w14:paraId="1157F5EE" w14:textId="79AD4742" w:rsidR="00934349" w:rsidRPr="00851875" w:rsidRDefault="00934349" w:rsidP="00934349">
            <w:pPr>
              <w:spacing w:before="240" w:after="240"/>
              <w:jc w:val="center"/>
              <w:rPr>
                <w:rFonts w:cs="Arial"/>
                <w:sz w:val="18"/>
                <w:szCs w:val="18"/>
              </w:rPr>
            </w:pPr>
            <w:r w:rsidRPr="00B52D63">
              <w:rPr>
                <w:rFonts w:cs="Arial"/>
              </w:rPr>
              <w:t>Administrative</w:t>
            </w:r>
          </w:p>
        </w:tc>
        <w:tc>
          <w:tcPr>
            <w:tcW w:w="1462" w:type="dxa"/>
          </w:tcPr>
          <w:p w14:paraId="76826514" w14:textId="77777777" w:rsidR="00934349" w:rsidRDefault="00934349" w:rsidP="00934349">
            <w:pPr>
              <w:spacing w:before="240"/>
              <w:jc w:val="center"/>
              <w:rPr>
                <w:rFonts w:cs="Arial"/>
              </w:rPr>
            </w:pPr>
          </w:p>
        </w:tc>
        <w:tc>
          <w:tcPr>
            <w:tcW w:w="3074" w:type="dxa"/>
          </w:tcPr>
          <w:p w14:paraId="036CA442" w14:textId="2EA25E4A" w:rsidR="00934349" w:rsidRDefault="00934349" w:rsidP="00934349">
            <w:pPr>
              <w:jc w:val="left"/>
              <w:rPr>
                <w:rFonts w:cs="Arial"/>
              </w:rPr>
            </w:pPr>
            <w:r w:rsidRPr="00B52D63">
              <w:rPr>
                <w:rFonts w:cs="Arial"/>
              </w:rPr>
              <w:t>Will an additional round of bidder questions be allowed if the answers to questions asked results in additional clarifications needed?</w:t>
            </w:r>
          </w:p>
        </w:tc>
        <w:tc>
          <w:tcPr>
            <w:tcW w:w="3420" w:type="dxa"/>
          </w:tcPr>
          <w:p w14:paraId="3EBD3651" w14:textId="77777777" w:rsidR="004D2206" w:rsidRPr="00712961" w:rsidRDefault="004D2206" w:rsidP="004D2206">
            <w:pPr>
              <w:pStyle w:val="Level1Body"/>
              <w:rPr>
                <w:color w:val="000000" w:themeColor="text1"/>
              </w:rPr>
            </w:pPr>
            <w:r w:rsidRPr="00712961">
              <w:rPr>
                <w:color w:val="000000" w:themeColor="text1"/>
              </w:rPr>
              <w:t>There is a second round of Q&amp;A with questions due July 6. Please refer to Section I.C. Schedule of Events.</w:t>
            </w:r>
          </w:p>
          <w:p w14:paraId="79E63258" w14:textId="423D97F5" w:rsidR="00934349" w:rsidRDefault="00934349" w:rsidP="00FC7789">
            <w:pPr>
              <w:pStyle w:val="Level1Body"/>
              <w:jc w:val="left"/>
            </w:pPr>
          </w:p>
        </w:tc>
      </w:tr>
      <w:tr w:rsidR="00934349" w14:paraId="7AF72D0E" w14:textId="77777777" w:rsidTr="00851875">
        <w:tc>
          <w:tcPr>
            <w:tcW w:w="961" w:type="dxa"/>
          </w:tcPr>
          <w:p w14:paraId="6D3218F7" w14:textId="7C52D7AE" w:rsidR="00934349" w:rsidRDefault="00934349" w:rsidP="00934349">
            <w:pPr>
              <w:pStyle w:val="Level1Body"/>
            </w:pPr>
            <w:r>
              <w:t>13.</w:t>
            </w:r>
          </w:p>
        </w:tc>
        <w:tc>
          <w:tcPr>
            <w:tcW w:w="1883" w:type="dxa"/>
          </w:tcPr>
          <w:p w14:paraId="35F4ABE6" w14:textId="477F6B91" w:rsidR="00934349" w:rsidRPr="00B52D63" w:rsidRDefault="00934349" w:rsidP="00934349">
            <w:pPr>
              <w:spacing w:before="240" w:after="240"/>
              <w:jc w:val="center"/>
              <w:rPr>
                <w:rFonts w:cs="Arial"/>
              </w:rPr>
            </w:pPr>
            <w:r>
              <w:rPr>
                <w:rFonts w:cs="Arial"/>
              </w:rPr>
              <w:t>Network</w:t>
            </w:r>
          </w:p>
        </w:tc>
        <w:tc>
          <w:tcPr>
            <w:tcW w:w="1462" w:type="dxa"/>
          </w:tcPr>
          <w:p w14:paraId="06736D40" w14:textId="77777777" w:rsidR="00934349" w:rsidRDefault="00934349" w:rsidP="00934349">
            <w:pPr>
              <w:spacing w:before="240"/>
              <w:jc w:val="center"/>
              <w:rPr>
                <w:rFonts w:cs="Arial"/>
              </w:rPr>
            </w:pPr>
          </w:p>
        </w:tc>
        <w:tc>
          <w:tcPr>
            <w:tcW w:w="3074" w:type="dxa"/>
          </w:tcPr>
          <w:p w14:paraId="1532E9CC" w14:textId="221CD694" w:rsidR="00934349" w:rsidRPr="00B52D63" w:rsidRDefault="00934349" w:rsidP="00934349">
            <w:pPr>
              <w:jc w:val="left"/>
              <w:rPr>
                <w:rFonts w:cs="Arial"/>
              </w:rPr>
            </w:pPr>
            <w:r w:rsidRPr="00FB3BC5">
              <w:rPr>
                <w:rFonts w:cs="Arial"/>
              </w:rPr>
              <w:t>Do you want Phys</w:t>
            </w:r>
            <w:r>
              <w:rPr>
                <w:rFonts w:cs="Arial"/>
              </w:rPr>
              <w:t>ician</w:t>
            </w:r>
            <w:r w:rsidRPr="00FB3BC5">
              <w:rPr>
                <w:rFonts w:cs="Arial"/>
              </w:rPr>
              <w:t xml:space="preserve"> Assistan</w:t>
            </w:r>
            <w:r>
              <w:rPr>
                <w:rFonts w:cs="Arial"/>
              </w:rPr>
              <w:t xml:space="preserve">t and </w:t>
            </w:r>
            <w:r w:rsidRPr="00FB3BC5">
              <w:rPr>
                <w:rFonts w:cs="Arial"/>
              </w:rPr>
              <w:t>Surg</w:t>
            </w:r>
            <w:r>
              <w:rPr>
                <w:rFonts w:cs="Arial"/>
              </w:rPr>
              <w:t>ical</w:t>
            </w:r>
            <w:r w:rsidRPr="00FB3BC5">
              <w:rPr>
                <w:rFonts w:cs="Arial"/>
              </w:rPr>
              <w:t xml:space="preserve"> Assistant </w:t>
            </w:r>
            <w:r>
              <w:rPr>
                <w:rFonts w:cs="Arial"/>
              </w:rPr>
              <w:t>considered in the Primary Care category for the Network Access exercise</w:t>
            </w:r>
            <w:r w:rsidRPr="00FB3BC5">
              <w:rPr>
                <w:rFonts w:cs="Arial"/>
              </w:rPr>
              <w:t>?</w:t>
            </w:r>
          </w:p>
        </w:tc>
        <w:tc>
          <w:tcPr>
            <w:tcW w:w="3420" w:type="dxa"/>
          </w:tcPr>
          <w:p w14:paraId="5D3FFDC4" w14:textId="0FB34B7E" w:rsidR="00934349" w:rsidRPr="00F076A8" w:rsidRDefault="00934349" w:rsidP="00FC7789">
            <w:pPr>
              <w:pStyle w:val="Level1Body"/>
              <w:jc w:val="left"/>
              <w:rPr>
                <w:color w:val="000000" w:themeColor="text1"/>
              </w:rPr>
            </w:pPr>
            <w:r w:rsidRPr="00F076A8">
              <w:rPr>
                <w:color w:val="000000" w:themeColor="text1"/>
              </w:rPr>
              <w:t>No</w:t>
            </w:r>
            <w:r w:rsidR="00E3102D" w:rsidRPr="00F076A8">
              <w:rPr>
                <w:color w:val="000000" w:themeColor="text1"/>
              </w:rPr>
              <w:t>, do not include Physician Assistants and Surgical Assistants in the Primary Care category.</w:t>
            </w:r>
          </w:p>
        </w:tc>
      </w:tr>
      <w:tr w:rsidR="00934349" w14:paraId="5B12028C" w14:textId="77777777" w:rsidTr="00851875">
        <w:tc>
          <w:tcPr>
            <w:tcW w:w="961" w:type="dxa"/>
          </w:tcPr>
          <w:p w14:paraId="1D430C4A" w14:textId="4BAC62B5" w:rsidR="00934349" w:rsidRDefault="00934349" w:rsidP="00934349">
            <w:pPr>
              <w:pStyle w:val="Level1Body"/>
            </w:pPr>
            <w:r w:rsidRPr="00F076A8">
              <w:t>14.</w:t>
            </w:r>
          </w:p>
        </w:tc>
        <w:tc>
          <w:tcPr>
            <w:tcW w:w="1883" w:type="dxa"/>
          </w:tcPr>
          <w:p w14:paraId="303B3798" w14:textId="7056EAA2" w:rsidR="00934349" w:rsidRDefault="00934349" w:rsidP="00934349">
            <w:pPr>
              <w:spacing w:before="240" w:after="240"/>
              <w:jc w:val="center"/>
              <w:rPr>
                <w:rFonts w:cs="Arial"/>
              </w:rPr>
            </w:pPr>
            <w:r>
              <w:rPr>
                <w:rFonts w:cs="Arial"/>
              </w:rPr>
              <w:t>Network</w:t>
            </w:r>
          </w:p>
        </w:tc>
        <w:tc>
          <w:tcPr>
            <w:tcW w:w="1462" w:type="dxa"/>
          </w:tcPr>
          <w:p w14:paraId="6AD08B59" w14:textId="77777777" w:rsidR="00934349" w:rsidRDefault="00934349" w:rsidP="00934349">
            <w:pPr>
              <w:spacing w:before="240"/>
              <w:jc w:val="center"/>
              <w:rPr>
                <w:rFonts w:cs="Arial"/>
              </w:rPr>
            </w:pPr>
          </w:p>
        </w:tc>
        <w:tc>
          <w:tcPr>
            <w:tcW w:w="3074" w:type="dxa"/>
          </w:tcPr>
          <w:p w14:paraId="5D7EB9F6" w14:textId="48AE3D23" w:rsidR="00407A0D" w:rsidRPr="00FB3BC5" w:rsidRDefault="00407A0D" w:rsidP="00934349">
            <w:pPr>
              <w:jc w:val="left"/>
              <w:rPr>
                <w:rFonts w:cs="Arial"/>
              </w:rPr>
            </w:pPr>
            <w:r>
              <w:rPr>
                <w:rFonts w:cs="Arial"/>
              </w:rPr>
              <w:t>Do you require all bidders to provide a disruption and network access analysis, including the incumbent?</w:t>
            </w:r>
          </w:p>
        </w:tc>
        <w:tc>
          <w:tcPr>
            <w:tcW w:w="3420" w:type="dxa"/>
          </w:tcPr>
          <w:p w14:paraId="61B0EA1B" w14:textId="35D46635" w:rsidR="00934349" w:rsidRDefault="004F3BC7" w:rsidP="00FC7789">
            <w:pPr>
              <w:pStyle w:val="Level1Body"/>
              <w:jc w:val="left"/>
            </w:pPr>
            <w:r>
              <w:t>Yes. This</w:t>
            </w:r>
            <w:r w:rsidR="00407A0D">
              <w:t xml:space="preserve"> is required of all bidders</w:t>
            </w:r>
            <w:r w:rsidR="00991292">
              <w:t>.</w:t>
            </w:r>
          </w:p>
        </w:tc>
      </w:tr>
    </w:tbl>
    <w:p w14:paraId="4D32AA83" w14:textId="77777777" w:rsidR="00027ED9" w:rsidRDefault="00027ED9" w:rsidP="00932B83">
      <w:pPr>
        <w:pStyle w:val="Level1Body"/>
        <w:rPr>
          <w:lang w:val="en-CA"/>
        </w:rPr>
      </w:pPr>
    </w:p>
    <w:p w14:paraId="46A4B78C" w14:textId="77777777" w:rsidR="004654F2" w:rsidRPr="00BD5697" w:rsidRDefault="004654F2" w:rsidP="004654F2">
      <w:pPr>
        <w:pStyle w:val="Level3Body"/>
      </w:pPr>
    </w:p>
    <w:p w14:paraId="38224ECD" w14:textId="77777777" w:rsidR="004654F2" w:rsidRPr="00BD5697" w:rsidRDefault="004654F2" w:rsidP="004654F2">
      <w:pPr>
        <w:pStyle w:val="Level1Body"/>
      </w:pPr>
      <w:r>
        <w:rPr>
          <w:noProof/>
        </w:rPr>
        <mc:AlternateContent>
          <mc:Choice Requires="wps">
            <w:drawing>
              <wp:anchor distT="0" distB="0" distL="114300" distR="114300" simplePos="0" relativeHeight="251661312" behindDoc="0" locked="1" layoutInCell="1" allowOverlap="1" wp14:anchorId="07DC50BC" wp14:editId="2A11DFAA">
                <wp:simplePos x="0" y="0"/>
                <wp:positionH relativeFrom="page">
                  <wp:align>center</wp:align>
                </wp:positionH>
                <wp:positionV relativeFrom="paragraph">
                  <wp:posOffset>0</wp:posOffset>
                </wp:positionV>
                <wp:extent cx="6858000" cy="93980"/>
                <wp:effectExtent l="0" t="3810" r="0" b="0"/>
                <wp:wrapNone/>
                <wp:docPr id="3956780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17E5" id="Rectangle 2" o:spid="_x0000_s1026" style="position:absolute;margin-left:0;margin-top:0;width:540pt;height:7.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735D941" w14:textId="158638E3" w:rsidR="004654F2" w:rsidRPr="00BD5697" w:rsidRDefault="004654F2" w:rsidP="004654F2">
      <w:pPr>
        <w:pStyle w:val="Heading4"/>
      </w:pPr>
      <w:r>
        <w:t>Updated Attachment C</w:t>
      </w:r>
    </w:p>
    <w:p w14:paraId="7762F155" w14:textId="77777777" w:rsidR="0030694E" w:rsidRDefault="0030694E" w:rsidP="00932B83">
      <w:pPr>
        <w:pStyle w:val="Level1Body"/>
        <w:rPr>
          <w:lang w:val="en-CA"/>
        </w:rPr>
      </w:pPr>
    </w:p>
    <w:p w14:paraId="3FE98C46" w14:textId="6D35AD1E" w:rsidR="004654F2" w:rsidRPr="004654F2" w:rsidRDefault="004654F2" w:rsidP="004654F2">
      <w:pPr>
        <w:pStyle w:val="Level1Body"/>
        <w:jc w:val="left"/>
      </w:pPr>
      <w:r w:rsidRPr="004654F2">
        <w:rPr>
          <w:lang w:val="en-CA"/>
        </w:rPr>
        <w:t xml:space="preserve">Attachment C - Questionnaire is hereby deleted and replaced with Attachment C1 - Questionnaire </w:t>
      </w:r>
      <w:r w:rsidRPr="004654F2">
        <w:t>to update question P.1 as follows:</w:t>
      </w:r>
    </w:p>
    <w:tbl>
      <w:tblPr>
        <w:tblW w:w="9318" w:type="dxa"/>
        <w:tblLook w:val="04A0" w:firstRow="1" w:lastRow="0" w:firstColumn="1" w:lastColumn="0" w:noHBand="0" w:noVBand="1"/>
      </w:tblPr>
      <w:tblGrid>
        <w:gridCol w:w="794"/>
        <w:gridCol w:w="8524"/>
      </w:tblGrid>
      <w:tr w:rsidR="004654F2" w:rsidRPr="004654F2" w14:paraId="12CEF0CD" w14:textId="77777777" w:rsidTr="004654F2">
        <w:trPr>
          <w:trHeight w:val="321"/>
        </w:trPr>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14:paraId="7FA6D4A2" w14:textId="77777777" w:rsidR="004654F2" w:rsidRPr="004654F2" w:rsidRDefault="004654F2" w:rsidP="004654F2">
            <w:pPr>
              <w:jc w:val="center"/>
              <w:rPr>
                <w:rFonts w:ascii="Calibri" w:hAnsi="Calibri" w:cs="Calibri"/>
                <w:b/>
                <w:bCs/>
                <w:color w:val="000000"/>
              </w:rPr>
            </w:pPr>
            <w:r w:rsidRPr="004654F2">
              <w:rPr>
                <w:rFonts w:ascii="Calibri" w:hAnsi="Calibri" w:cs="Calibri"/>
                <w:b/>
                <w:bCs/>
                <w:color w:val="000000"/>
              </w:rPr>
              <w:t>P</w:t>
            </w:r>
          </w:p>
        </w:tc>
        <w:tc>
          <w:tcPr>
            <w:tcW w:w="8524" w:type="dxa"/>
            <w:tcBorders>
              <w:top w:val="single" w:sz="4" w:space="0" w:color="auto"/>
              <w:left w:val="nil"/>
              <w:bottom w:val="single" w:sz="4" w:space="0" w:color="auto"/>
              <w:right w:val="single" w:sz="4" w:space="0" w:color="auto"/>
            </w:tcBorders>
            <w:shd w:val="clear" w:color="000000" w:fill="FFFFFF"/>
            <w:noWrap/>
            <w:hideMark/>
          </w:tcPr>
          <w:p w14:paraId="3E385984" w14:textId="77777777" w:rsidR="004654F2" w:rsidRPr="004654F2" w:rsidRDefault="004654F2" w:rsidP="004654F2">
            <w:pPr>
              <w:jc w:val="left"/>
              <w:rPr>
                <w:rFonts w:ascii="Calibri" w:hAnsi="Calibri" w:cs="Calibri"/>
                <w:b/>
                <w:bCs/>
                <w:sz w:val="24"/>
                <w:szCs w:val="24"/>
              </w:rPr>
            </w:pPr>
            <w:r w:rsidRPr="004654F2">
              <w:rPr>
                <w:rFonts w:ascii="Calibri" w:hAnsi="Calibri" w:cs="Calibri"/>
                <w:b/>
                <w:bCs/>
                <w:sz w:val="24"/>
                <w:szCs w:val="24"/>
              </w:rPr>
              <w:t>IMPLEMENTATION, OPEN ENROLLMENT, AND COMMUNICATIONS</w:t>
            </w:r>
          </w:p>
        </w:tc>
      </w:tr>
      <w:tr w:rsidR="004654F2" w:rsidRPr="004654F2" w14:paraId="4A7E9558" w14:textId="77777777" w:rsidTr="004654F2">
        <w:trPr>
          <w:trHeight w:val="920"/>
        </w:trPr>
        <w:tc>
          <w:tcPr>
            <w:tcW w:w="794" w:type="dxa"/>
            <w:tcBorders>
              <w:top w:val="nil"/>
              <w:left w:val="single" w:sz="4" w:space="0" w:color="auto"/>
              <w:bottom w:val="single" w:sz="4" w:space="0" w:color="auto"/>
              <w:right w:val="single" w:sz="4" w:space="0" w:color="auto"/>
            </w:tcBorders>
            <w:shd w:val="clear" w:color="000000" w:fill="FFFFFF"/>
            <w:noWrap/>
            <w:hideMark/>
          </w:tcPr>
          <w:p w14:paraId="27F8A5C4" w14:textId="77777777" w:rsidR="004654F2" w:rsidRPr="004654F2" w:rsidRDefault="004654F2" w:rsidP="004654F2">
            <w:pPr>
              <w:jc w:val="right"/>
              <w:rPr>
                <w:rFonts w:ascii="Calibri" w:hAnsi="Calibri" w:cs="Calibri"/>
                <w:sz w:val="18"/>
                <w:szCs w:val="18"/>
              </w:rPr>
            </w:pPr>
            <w:r w:rsidRPr="004654F2">
              <w:rPr>
                <w:rFonts w:ascii="Calibri" w:hAnsi="Calibri" w:cs="Calibri"/>
                <w:sz w:val="18"/>
                <w:szCs w:val="18"/>
              </w:rPr>
              <w:t>P.1</w:t>
            </w:r>
          </w:p>
        </w:tc>
        <w:tc>
          <w:tcPr>
            <w:tcW w:w="8524" w:type="dxa"/>
            <w:tcBorders>
              <w:top w:val="nil"/>
              <w:left w:val="nil"/>
              <w:bottom w:val="single" w:sz="4" w:space="0" w:color="auto"/>
              <w:right w:val="single" w:sz="4" w:space="0" w:color="auto"/>
            </w:tcBorders>
            <w:shd w:val="clear" w:color="000000" w:fill="FFFFFF"/>
            <w:hideMark/>
          </w:tcPr>
          <w:p w14:paraId="08FC1A03" w14:textId="038A25EC" w:rsidR="004654F2" w:rsidRPr="004654F2" w:rsidRDefault="004654F2" w:rsidP="004654F2">
            <w:pPr>
              <w:jc w:val="left"/>
              <w:rPr>
                <w:rFonts w:ascii="Calibri" w:hAnsi="Calibri" w:cs="Calibri"/>
              </w:rPr>
            </w:pPr>
            <w:r w:rsidRPr="004654F2">
              <w:rPr>
                <w:rFonts w:ascii="Calibri" w:hAnsi="Calibri" w:cs="Calibri"/>
              </w:rPr>
              <w:t xml:space="preserve">Provide an implementation plan detailing the implementation timeline assuming a </w:t>
            </w:r>
            <w:r w:rsidRPr="004654F2">
              <w:rPr>
                <w:rFonts w:ascii="Calibri" w:hAnsi="Calibri" w:cs="Calibri"/>
                <w:color w:val="FF0000"/>
              </w:rPr>
              <w:t xml:space="preserve">December 1, </w:t>
            </w:r>
            <w:r w:rsidRPr="004654F2">
              <w:rPr>
                <w:rFonts w:ascii="Calibri" w:hAnsi="Calibri" w:cs="Calibri"/>
                <w:color w:val="FF0000"/>
              </w:rPr>
              <w:t>2025,</w:t>
            </w:r>
            <w:r w:rsidRPr="004654F2">
              <w:rPr>
                <w:rFonts w:ascii="Calibri" w:hAnsi="Calibri" w:cs="Calibri"/>
              </w:rPr>
              <w:t xml:space="preserve"> contract award.  At a minimum, the Implementation Project Plan must provide specific details on the following:</w:t>
            </w:r>
          </w:p>
        </w:tc>
      </w:tr>
    </w:tbl>
    <w:p w14:paraId="0DF1279C" w14:textId="655A2A48"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45DDB22D" w14:textId="5F060117" w:rsidR="00760D32" w:rsidRPr="00760D32" w:rsidRDefault="00932B83" w:rsidP="000830D8">
      <w:r w:rsidRPr="00985AE2">
        <w:t>This addendum will be</w:t>
      </w:r>
      <w:r>
        <w:t xml:space="preserve"> incorporated into </w:t>
      </w:r>
      <w:r w:rsidRPr="00985AE2">
        <w:t xml:space="preserve">the </w:t>
      </w:r>
      <w:r>
        <w:t xml:space="preserve">solicitation. </w:t>
      </w:r>
      <w:r w:rsidR="00760D32">
        <w:tab/>
      </w:r>
    </w:p>
    <w:sectPr w:rsidR="00760D32" w:rsidRPr="00760D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D6FD" w14:textId="77777777" w:rsidR="00D5368D" w:rsidRDefault="00D5368D" w:rsidP="00932B83">
      <w:r>
        <w:separator/>
      </w:r>
    </w:p>
  </w:endnote>
  <w:endnote w:type="continuationSeparator" w:id="0">
    <w:p w14:paraId="4AD45FBB" w14:textId="77777777" w:rsidR="00D5368D" w:rsidRDefault="00D5368D"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638B" w14:textId="77777777" w:rsidR="004654F2" w:rsidRDefault="004654F2" w:rsidP="00937FD6">
    <w:pPr>
      <w:pStyle w:val="Footer"/>
      <w:jc w:val="right"/>
      <w:rPr>
        <w:sz w:val="20"/>
        <w:szCs w:val="20"/>
      </w:rPr>
    </w:pPr>
  </w:p>
  <w:p w14:paraId="1EBC6705" w14:textId="65DD820F" w:rsidR="00937FD6" w:rsidRPr="00937FD6" w:rsidRDefault="00DD27AA"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3CC8F658" w14:textId="77777777" w:rsidR="00013341" w:rsidRPr="00B82346" w:rsidRDefault="00013341" w:rsidP="00937FD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C9B9" w14:textId="77777777" w:rsidR="00D5368D" w:rsidRDefault="00D5368D" w:rsidP="00932B83">
      <w:r>
        <w:separator/>
      </w:r>
    </w:p>
  </w:footnote>
  <w:footnote w:type="continuationSeparator" w:id="0">
    <w:p w14:paraId="5FE1B944" w14:textId="77777777" w:rsidR="00D5368D" w:rsidRDefault="00D5368D" w:rsidP="00932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D"/>
    <w:rsid w:val="00013341"/>
    <w:rsid w:val="00027ED9"/>
    <w:rsid w:val="000830D8"/>
    <w:rsid w:val="000B5D16"/>
    <w:rsid w:val="000C2B8A"/>
    <w:rsid w:val="000E2D5E"/>
    <w:rsid w:val="0010233F"/>
    <w:rsid w:val="00102B6B"/>
    <w:rsid w:val="00162181"/>
    <w:rsid w:val="00174E66"/>
    <w:rsid w:val="00184038"/>
    <w:rsid w:val="0018798F"/>
    <w:rsid w:val="00190E12"/>
    <w:rsid w:val="0019275F"/>
    <w:rsid w:val="001B5654"/>
    <w:rsid w:val="001C4CE5"/>
    <w:rsid w:val="001C671A"/>
    <w:rsid w:val="0022476C"/>
    <w:rsid w:val="00235645"/>
    <w:rsid w:val="00256728"/>
    <w:rsid w:val="00296870"/>
    <w:rsid w:val="002C53FA"/>
    <w:rsid w:val="002D659A"/>
    <w:rsid w:val="0030694E"/>
    <w:rsid w:val="003100E2"/>
    <w:rsid w:val="00324AF3"/>
    <w:rsid w:val="003479C5"/>
    <w:rsid w:val="00407A0D"/>
    <w:rsid w:val="004451ED"/>
    <w:rsid w:val="004654F2"/>
    <w:rsid w:val="00495FF5"/>
    <w:rsid w:val="004D2206"/>
    <w:rsid w:val="004D58D7"/>
    <w:rsid w:val="004F3BC7"/>
    <w:rsid w:val="00520D5A"/>
    <w:rsid w:val="005530E3"/>
    <w:rsid w:val="0057794B"/>
    <w:rsid w:val="005F4949"/>
    <w:rsid w:val="00601AB5"/>
    <w:rsid w:val="0069423B"/>
    <w:rsid w:val="006A378E"/>
    <w:rsid w:val="006A63A9"/>
    <w:rsid w:val="006F3DD3"/>
    <w:rsid w:val="006F4054"/>
    <w:rsid w:val="0070025A"/>
    <w:rsid w:val="00712961"/>
    <w:rsid w:val="00717197"/>
    <w:rsid w:val="00727BA5"/>
    <w:rsid w:val="00760D32"/>
    <w:rsid w:val="00771F00"/>
    <w:rsid w:val="007E5354"/>
    <w:rsid w:val="00804F85"/>
    <w:rsid w:val="008141E2"/>
    <w:rsid w:val="008377BB"/>
    <w:rsid w:val="00851875"/>
    <w:rsid w:val="00856C69"/>
    <w:rsid w:val="0087626A"/>
    <w:rsid w:val="00891C47"/>
    <w:rsid w:val="008B7C99"/>
    <w:rsid w:val="00932B83"/>
    <w:rsid w:val="00934349"/>
    <w:rsid w:val="00937FD6"/>
    <w:rsid w:val="00971C0F"/>
    <w:rsid w:val="00991292"/>
    <w:rsid w:val="009A0443"/>
    <w:rsid w:val="009D61B6"/>
    <w:rsid w:val="009F7831"/>
    <w:rsid w:val="00A37DE7"/>
    <w:rsid w:val="00A4343C"/>
    <w:rsid w:val="00A55CE9"/>
    <w:rsid w:val="00AD6DB9"/>
    <w:rsid w:val="00B82346"/>
    <w:rsid w:val="00B9201A"/>
    <w:rsid w:val="00BE7EEB"/>
    <w:rsid w:val="00BF34B3"/>
    <w:rsid w:val="00C0284C"/>
    <w:rsid w:val="00C76ED2"/>
    <w:rsid w:val="00CB38E0"/>
    <w:rsid w:val="00CC25C8"/>
    <w:rsid w:val="00CC3349"/>
    <w:rsid w:val="00D14CB4"/>
    <w:rsid w:val="00D15AD6"/>
    <w:rsid w:val="00D5368D"/>
    <w:rsid w:val="00D87BF0"/>
    <w:rsid w:val="00DD27AA"/>
    <w:rsid w:val="00DE2B33"/>
    <w:rsid w:val="00E0530B"/>
    <w:rsid w:val="00E13511"/>
    <w:rsid w:val="00E3102D"/>
    <w:rsid w:val="00E51D72"/>
    <w:rsid w:val="00E5209C"/>
    <w:rsid w:val="00E8023F"/>
    <w:rsid w:val="00ED46B9"/>
    <w:rsid w:val="00EF689B"/>
    <w:rsid w:val="00F076A8"/>
    <w:rsid w:val="00F10CC6"/>
    <w:rsid w:val="00F26A3A"/>
    <w:rsid w:val="00F30E60"/>
    <w:rsid w:val="00F46AF9"/>
    <w:rsid w:val="00F56664"/>
    <w:rsid w:val="00F92817"/>
    <w:rsid w:val="00FA5ABF"/>
    <w:rsid w:val="00FC4A64"/>
    <w:rsid w:val="00FC6612"/>
    <w:rsid w:val="00FC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D611"/>
  <w15:chartTrackingRefBased/>
  <w15:docId w15:val="{AA7FAC67-9020-4ECE-81F0-C8967AF5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CommentReference">
    <w:name w:val="annotation reference"/>
    <w:basedOn w:val="DefaultParagraphFont"/>
    <w:uiPriority w:val="99"/>
    <w:semiHidden/>
    <w:unhideWhenUsed/>
    <w:rsid w:val="006A63A9"/>
    <w:rPr>
      <w:sz w:val="16"/>
      <w:szCs w:val="16"/>
    </w:rPr>
  </w:style>
  <w:style w:type="paragraph" w:styleId="CommentText">
    <w:name w:val="annotation text"/>
    <w:basedOn w:val="Normal"/>
    <w:link w:val="CommentTextChar"/>
    <w:uiPriority w:val="99"/>
    <w:unhideWhenUsed/>
    <w:rsid w:val="006A63A9"/>
    <w:rPr>
      <w:sz w:val="20"/>
      <w:szCs w:val="20"/>
    </w:rPr>
  </w:style>
  <w:style w:type="character" w:customStyle="1" w:styleId="CommentTextChar">
    <w:name w:val="Comment Text Char"/>
    <w:basedOn w:val="DefaultParagraphFont"/>
    <w:link w:val="CommentText"/>
    <w:uiPriority w:val="99"/>
    <w:rsid w:val="006A63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A63A9"/>
    <w:rPr>
      <w:b/>
      <w:bCs/>
    </w:rPr>
  </w:style>
  <w:style w:type="character" w:customStyle="1" w:styleId="CommentSubjectChar">
    <w:name w:val="Comment Subject Char"/>
    <w:basedOn w:val="CommentTextChar"/>
    <w:link w:val="CommentSubject"/>
    <w:uiPriority w:val="99"/>
    <w:semiHidden/>
    <w:rsid w:val="006A63A9"/>
    <w:rPr>
      <w:rFonts w:ascii="Arial" w:eastAsia="Times New Roman" w:hAnsi="Arial" w:cs="Times New Roman"/>
      <w:b/>
      <w:bCs/>
      <w:sz w:val="20"/>
      <w:szCs w:val="20"/>
    </w:rPr>
  </w:style>
  <w:style w:type="paragraph" w:styleId="NormalWeb">
    <w:name w:val="Normal (Web)"/>
    <w:basedOn w:val="Normal"/>
    <w:uiPriority w:val="99"/>
    <w:semiHidden/>
    <w:unhideWhenUsed/>
    <w:rsid w:val="004654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3691">
      <w:bodyDiv w:val="1"/>
      <w:marLeft w:val="0"/>
      <w:marRight w:val="0"/>
      <w:marTop w:val="0"/>
      <w:marBottom w:val="0"/>
      <w:divBdr>
        <w:top w:val="none" w:sz="0" w:space="0" w:color="auto"/>
        <w:left w:val="none" w:sz="0" w:space="0" w:color="auto"/>
        <w:bottom w:val="none" w:sz="0" w:space="0" w:color="auto"/>
        <w:right w:val="none" w:sz="0" w:space="0" w:color="auto"/>
      </w:divBdr>
    </w:div>
    <w:div w:id="399793889">
      <w:bodyDiv w:val="1"/>
      <w:marLeft w:val="0"/>
      <w:marRight w:val="0"/>
      <w:marTop w:val="0"/>
      <w:marBottom w:val="0"/>
      <w:divBdr>
        <w:top w:val="none" w:sz="0" w:space="0" w:color="auto"/>
        <w:left w:val="none" w:sz="0" w:space="0" w:color="auto"/>
        <w:bottom w:val="none" w:sz="0" w:space="0" w:color="auto"/>
        <w:right w:val="none" w:sz="0" w:space="0" w:color="auto"/>
      </w:divBdr>
    </w:div>
    <w:div w:id="456801921">
      <w:bodyDiv w:val="1"/>
      <w:marLeft w:val="0"/>
      <w:marRight w:val="0"/>
      <w:marTop w:val="0"/>
      <w:marBottom w:val="0"/>
      <w:divBdr>
        <w:top w:val="none" w:sz="0" w:space="0" w:color="auto"/>
        <w:left w:val="none" w:sz="0" w:space="0" w:color="auto"/>
        <w:bottom w:val="none" w:sz="0" w:space="0" w:color="auto"/>
        <w:right w:val="none" w:sz="0" w:space="0" w:color="auto"/>
      </w:divBdr>
    </w:div>
    <w:div w:id="692269173">
      <w:bodyDiv w:val="1"/>
      <w:marLeft w:val="0"/>
      <w:marRight w:val="0"/>
      <w:marTop w:val="0"/>
      <w:marBottom w:val="0"/>
      <w:divBdr>
        <w:top w:val="none" w:sz="0" w:space="0" w:color="auto"/>
        <w:left w:val="none" w:sz="0" w:space="0" w:color="auto"/>
        <w:bottom w:val="none" w:sz="0" w:space="0" w:color="auto"/>
        <w:right w:val="none" w:sz="0" w:space="0" w:color="auto"/>
      </w:divBdr>
    </w:div>
    <w:div w:id="726804370">
      <w:bodyDiv w:val="1"/>
      <w:marLeft w:val="0"/>
      <w:marRight w:val="0"/>
      <w:marTop w:val="0"/>
      <w:marBottom w:val="0"/>
      <w:divBdr>
        <w:top w:val="none" w:sz="0" w:space="0" w:color="auto"/>
        <w:left w:val="none" w:sz="0" w:space="0" w:color="auto"/>
        <w:bottom w:val="none" w:sz="0" w:space="0" w:color="auto"/>
        <w:right w:val="none" w:sz="0" w:space="0" w:color="auto"/>
      </w:divBdr>
    </w:div>
    <w:div w:id="790057614">
      <w:bodyDiv w:val="1"/>
      <w:marLeft w:val="0"/>
      <w:marRight w:val="0"/>
      <w:marTop w:val="0"/>
      <w:marBottom w:val="0"/>
      <w:divBdr>
        <w:top w:val="none" w:sz="0" w:space="0" w:color="auto"/>
        <w:left w:val="none" w:sz="0" w:space="0" w:color="auto"/>
        <w:bottom w:val="none" w:sz="0" w:space="0" w:color="auto"/>
        <w:right w:val="none" w:sz="0" w:space="0" w:color="auto"/>
      </w:divBdr>
    </w:div>
    <w:div w:id="1025715241">
      <w:bodyDiv w:val="1"/>
      <w:marLeft w:val="0"/>
      <w:marRight w:val="0"/>
      <w:marTop w:val="0"/>
      <w:marBottom w:val="0"/>
      <w:divBdr>
        <w:top w:val="none" w:sz="0" w:space="0" w:color="auto"/>
        <w:left w:val="none" w:sz="0" w:space="0" w:color="auto"/>
        <w:bottom w:val="none" w:sz="0" w:space="0" w:color="auto"/>
        <w:right w:val="none" w:sz="0" w:space="0" w:color="auto"/>
      </w:divBdr>
    </w:div>
    <w:div w:id="1294100208">
      <w:bodyDiv w:val="1"/>
      <w:marLeft w:val="0"/>
      <w:marRight w:val="0"/>
      <w:marTop w:val="0"/>
      <w:marBottom w:val="0"/>
      <w:divBdr>
        <w:top w:val="none" w:sz="0" w:space="0" w:color="auto"/>
        <w:left w:val="none" w:sz="0" w:space="0" w:color="auto"/>
        <w:bottom w:val="none" w:sz="0" w:space="0" w:color="auto"/>
        <w:right w:val="none" w:sz="0" w:space="0" w:color="auto"/>
      </w:divBdr>
    </w:div>
    <w:div w:id="1320813925">
      <w:bodyDiv w:val="1"/>
      <w:marLeft w:val="0"/>
      <w:marRight w:val="0"/>
      <w:marTop w:val="0"/>
      <w:marBottom w:val="0"/>
      <w:divBdr>
        <w:top w:val="none" w:sz="0" w:space="0" w:color="auto"/>
        <w:left w:val="none" w:sz="0" w:space="0" w:color="auto"/>
        <w:bottom w:val="none" w:sz="0" w:space="0" w:color="auto"/>
        <w:right w:val="none" w:sz="0" w:space="0" w:color="auto"/>
      </w:divBdr>
    </w:div>
    <w:div w:id="1658344562">
      <w:bodyDiv w:val="1"/>
      <w:marLeft w:val="0"/>
      <w:marRight w:val="0"/>
      <w:marTop w:val="0"/>
      <w:marBottom w:val="0"/>
      <w:divBdr>
        <w:top w:val="none" w:sz="0" w:space="0" w:color="auto"/>
        <w:left w:val="none" w:sz="0" w:space="0" w:color="auto"/>
        <w:bottom w:val="none" w:sz="0" w:space="0" w:color="auto"/>
        <w:right w:val="none" w:sz="0" w:space="0" w:color="auto"/>
      </w:divBdr>
    </w:div>
    <w:div w:id="1761245748">
      <w:bodyDiv w:val="1"/>
      <w:marLeft w:val="0"/>
      <w:marRight w:val="0"/>
      <w:marTop w:val="0"/>
      <w:marBottom w:val="0"/>
      <w:divBdr>
        <w:top w:val="none" w:sz="0" w:space="0" w:color="auto"/>
        <w:left w:val="none" w:sz="0" w:space="0" w:color="auto"/>
        <w:bottom w:val="none" w:sz="0" w:space="0" w:color="auto"/>
        <w:right w:val="none" w:sz="0" w:space="0" w:color="auto"/>
      </w:divBdr>
    </w:div>
    <w:div w:id="1934509443">
      <w:bodyDiv w:val="1"/>
      <w:marLeft w:val="0"/>
      <w:marRight w:val="0"/>
      <w:marTop w:val="0"/>
      <w:marBottom w:val="0"/>
      <w:divBdr>
        <w:top w:val="none" w:sz="0" w:space="0" w:color="auto"/>
        <w:left w:val="none" w:sz="0" w:space="0" w:color="auto"/>
        <w:bottom w:val="none" w:sz="0" w:space="0" w:color="auto"/>
        <w:right w:val="none" w:sz="0" w:space="0" w:color="auto"/>
      </w:divBdr>
    </w:div>
    <w:div w:id="20497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A847-EF6A-49E2-9A75-8B519F9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26 - Solicitation Addendum - Q&amp;A</Template>
  <TotalTime>57</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Taylor</dc:creator>
  <cp:keywords/>
  <dc:description/>
  <cp:lastModifiedBy>Taylor, Brook</cp:lastModifiedBy>
  <cp:revision>9</cp:revision>
  <dcterms:created xsi:type="dcterms:W3CDTF">2025-06-26T15:29:00Z</dcterms:created>
  <dcterms:modified xsi:type="dcterms:W3CDTF">2025-06-26T19:48:00Z</dcterms:modified>
</cp:coreProperties>
</file>